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CD5363" w:rsidRDefault="00F92268" w:rsidP="00850792">
      <w:pPr>
        <w:pStyle w:val="BodyText"/>
        <w:rPr>
          <w:sz w:val="6"/>
          <w:szCs w:val="6"/>
        </w:rPr>
      </w:pPr>
      <w:r w:rsidRPr="00CD5363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CD5363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CD5363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CD5363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CD5363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2EF986C" w:rsidR="00F92268" w:rsidRPr="00CD5363" w:rsidRDefault="00E83C61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CD5363">
              <w:rPr>
                <w:rFonts w:cs="Arial"/>
                <w:sz w:val="16"/>
                <w:szCs w:val="16"/>
              </w:rPr>
              <w:t>4210-A</w:t>
            </w:r>
          </w:p>
        </w:tc>
      </w:tr>
    </w:tbl>
    <w:p w14:paraId="74FBA5B4" w14:textId="77777777" w:rsidR="00051356" w:rsidRPr="00CD5363" w:rsidRDefault="00051356" w:rsidP="00A672B3">
      <w:pPr>
        <w:pStyle w:val="BodyText"/>
        <w:rPr>
          <w:b/>
          <w:bCs/>
          <w:sz w:val="16"/>
          <w:szCs w:val="16"/>
        </w:rPr>
        <w:sectPr w:rsidR="00051356" w:rsidRPr="00CD5363" w:rsidSect="000C1190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47EA55F" w:rsidR="004B15BB" w:rsidRPr="00CD5363" w:rsidRDefault="00E83C61" w:rsidP="007E5C16">
      <w:pPr>
        <w:pStyle w:val="Heading1"/>
      </w:pPr>
      <w:r w:rsidRPr="00CD5363">
        <w:t>Specialty Guideline Management</w:t>
      </w:r>
      <w:r w:rsidRPr="00CD5363">
        <w:br/>
        <w:t>Sogroya</w:t>
      </w:r>
    </w:p>
    <w:p w14:paraId="78861C92" w14:textId="0F05EDF8" w:rsidR="00203468" w:rsidRPr="00CD5363" w:rsidRDefault="00C64534" w:rsidP="008E0F0D">
      <w:pPr>
        <w:pStyle w:val="Heading2"/>
      </w:pPr>
      <w:r w:rsidRPr="00CD5363">
        <w:t xml:space="preserve">Products Referenced by this </w:t>
      </w:r>
      <w:r w:rsidR="00501602" w:rsidRPr="00CD5363">
        <w:t>Document</w:t>
      </w:r>
    </w:p>
    <w:p w14:paraId="5455152B" w14:textId="752A4380" w:rsidR="008E0F0D" w:rsidRPr="00CD5363" w:rsidRDefault="00D82D85" w:rsidP="008B73E8">
      <w:pPr>
        <w:pStyle w:val="BodyText"/>
      </w:pPr>
      <w:r w:rsidRPr="00CD5363">
        <w:t xml:space="preserve">Drugs that are listed in the </w:t>
      </w:r>
      <w:r w:rsidR="000315F1" w:rsidRPr="00CD5363">
        <w:t>following table</w:t>
      </w:r>
      <w:r w:rsidRPr="00CD5363">
        <w:t xml:space="preserve"> include both brand and generic and all dosage forms and strengths unless otherwise stated. </w:t>
      </w:r>
      <w:proofErr w:type="gramStart"/>
      <w:r w:rsidR="00BD0C3B">
        <w:t>Over</w:t>
      </w:r>
      <w:r w:rsidR="00E77115">
        <w:t>-</w:t>
      </w:r>
      <w:r w:rsidR="00BD0C3B">
        <w:t>the</w:t>
      </w:r>
      <w:r w:rsidR="00E77115">
        <w:t>-</w:t>
      </w:r>
      <w:r w:rsidR="00BD0C3B">
        <w:t>counter</w:t>
      </w:r>
      <w:proofErr w:type="gramEnd"/>
      <w:r w:rsidR="00BD0C3B">
        <w:t xml:space="preserve"> (</w:t>
      </w:r>
      <w:r w:rsidRPr="00CD5363">
        <w:t>OTC</w:t>
      </w:r>
      <w:r w:rsidR="00BD0C3B">
        <w:t>)</w:t>
      </w:r>
      <w:r w:rsidRPr="00CD5363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CD5363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CD5363" w:rsidRDefault="00252CE1" w:rsidP="00AA1E6A">
            <w:pPr>
              <w:pStyle w:val="TableHeader"/>
            </w:pPr>
            <w:bookmarkStart w:id="0" w:name="_Hlk159603270"/>
            <w:r w:rsidRPr="00CD5363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CD5363" w:rsidRDefault="00252CE1" w:rsidP="00AA1E6A">
            <w:pPr>
              <w:pStyle w:val="TableHeader"/>
            </w:pPr>
            <w:r w:rsidRPr="00CD5363">
              <w:t>Generic Name</w:t>
            </w:r>
          </w:p>
        </w:tc>
      </w:tr>
      <w:tr w:rsidR="00585FFF" w:rsidRPr="00CD5363" w14:paraId="2AD5C02D" w14:textId="77777777" w:rsidTr="000C5A6F">
        <w:trPr>
          <w:cantSplit/>
        </w:trPr>
        <w:tc>
          <w:tcPr>
            <w:tcW w:w="5265" w:type="dxa"/>
          </w:tcPr>
          <w:p w14:paraId="2D8FA8E3" w14:textId="47CE4DC4" w:rsidR="00585FFF" w:rsidRPr="00CD5363" w:rsidRDefault="00E83C61" w:rsidP="00E82ABA">
            <w:pPr>
              <w:pStyle w:val="TableDataUnpadded"/>
            </w:pPr>
            <w:r w:rsidRPr="00CD5363">
              <w:t>Sogroya</w:t>
            </w:r>
          </w:p>
        </w:tc>
        <w:tc>
          <w:tcPr>
            <w:tcW w:w="5595" w:type="dxa"/>
          </w:tcPr>
          <w:p w14:paraId="7E26A004" w14:textId="4766FD91" w:rsidR="00585FFF" w:rsidRPr="00CD5363" w:rsidRDefault="00E83C61" w:rsidP="00E82ABA">
            <w:pPr>
              <w:pStyle w:val="TableDataUnpadded"/>
            </w:pPr>
            <w:r w:rsidRPr="00CD5363">
              <w:t>somapacitan-beco</w:t>
            </w:r>
          </w:p>
        </w:tc>
      </w:tr>
    </w:tbl>
    <w:bookmarkEnd w:id="0"/>
    <w:p w14:paraId="14CE6108" w14:textId="4E1C2841" w:rsidR="00FC1AAD" w:rsidRPr="00CD5363" w:rsidRDefault="00ED052F" w:rsidP="00ED052F">
      <w:pPr>
        <w:pStyle w:val="Heading2"/>
      </w:pPr>
      <w:r w:rsidRPr="00CD5363">
        <w:t>Indications</w:t>
      </w:r>
    </w:p>
    <w:p w14:paraId="5A014B4F" w14:textId="3139BE01" w:rsidR="00E83C61" w:rsidRPr="00CD5363" w:rsidRDefault="00E83C61" w:rsidP="000C5F23">
      <w:pPr>
        <w:pStyle w:val="BodyText"/>
      </w:pPr>
      <w:r w:rsidRPr="00CD5363">
        <w:t xml:space="preserve">The indications below including FDA-approved indications and compendial uses are considered a covered benefit provided that all the approval criteria are </w:t>
      </w:r>
      <w:proofErr w:type="gramStart"/>
      <w:r w:rsidRPr="00CD5363">
        <w:t>met</w:t>
      </w:r>
      <w:proofErr w:type="gramEnd"/>
      <w:r w:rsidRPr="00CD5363">
        <w:t xml:space="preserve"> and the member has no exclusions to the prescribed therapy.</w:t>
      </w:r>
    </w:p>
    <w:p w14:paraId="134B5687" w14:textId="1C89D134" w:rsidR="00ED052F" w:rsidRPr="00CD5363" w:rsidRDefault="00ED052F" w:rsidP="00ED052F">
      <w:pPr>
        <w:pStyle w:val="Heading3"/>
        <w:keepNext w:val="0"/>
      </w:pPr>
      <w:r w:rsidRPr="00CD5363">
        <w:t>FDA-approved Indications</w:t>
      </w:r>
      <w:r w:rsidR="00E83C61" w:rsidRPr="00CD5363">
        <w:rPr>
          <w:vertAlign w:val="superscript"/>
        </w:rPr>
        <w:t>1</w:t>
      </w:r>
    </w:p>
    <w:p w14:paraId="482D3290" w14:textId="2D8EBFFE" w:rsidR="00E83C61" w:rsidRPr="00CD5363" w:rsidRDefault="00E83C61" w:rsidP="00E83C61">
      <w:pPr>
        <w:pStyle w:val="ListParagraph"/>
        <w:numPr>
          <w:ilvl w:val="0"/>
          <w:numId w:val="26"/>
        </w:numPr>
      </w:pPr>
      <w:r w:rsidRPr="00CD5363">
        <w:t>Sogroya is indicated for the replacement of endogenous growth hormone (GH) in adults with growth hormone deficiency (GHD).</w:t>
      </w:r>
    </w:p>
    <w:p w14:paraId="3CB70E28" w14:textId="2708EB84" w:rsidR="00E83C61" w:rsidRPr="00CD5363" w:rsidRDefault="00E83C61" w:rsidP="00E83C61">
      <w:pPr>
        <w:pStyle w:val="ListParagraph"/>
        <w:numPr>
          <w:ilvl w:val="0"/>
          <w:numId w:val="26"/>
        </w:numPr>
      </w:pPr>
      <w:r w:rsidRPr="00CD5363">
        <w:t>Sogroya is indicated for the treatment of pediatric patients aged 2.5 years and older who have growth failure due to inadequate secretion of endogenous growth hormone (GH).</w:t>
      </w:r>
    </w:p>
    <w:p w14:paraId="648D7A30" w14:textId="2D853B29" w:rsidR="00E83C61" w:rsidRPr="00CD5363" w:rsidRDefault="00E83C61" w:rsidP="00164C7F">
      <w:pPr>
        <w:pStyle w:val="BodyText"/>
        <w:spacing w:before="240"/>
      </w:pPr>
      <w:r w:rsidRPr="00CD5363">
        <w:t>All other indications are considered experimental/investigational and not medically necessary.</w:t>
      </w:r>
    </w:p>
    <w:p w14:paraId="36381B6D" w14:textId="27448F2C" w:rsidR="000D2496" w:rsidRPr="00CD5363" w:rsidRDefault="000D2496" w:rsidP="000D2496">
      <w:pPr>
        <w:pStyle w:val="Heading2"/>
      </w:pPr>
      <w:r w:rsidRPr="00CD5363">
        <w:t>Documentation</w:t>
      </w:r>
    </w:p>
    <w:p w14:paraId="16A5AE80" w14:textId="786198C7" w:rsidR="00E83C61" w:rsidRDefault="00E83C61" w:rsidP="000C5F23">
      <w:pPr>
        <w:pStyle w:val="BodyText"/>
      </w:pPr>
      <w:r w:rsidRPr="00CD5363">
        <w:t>Submission of the following information is necessary to initiate the prior authorization review (where applicable):</w:t>
      </w:r>
    </w:p>
    <w:p w14:paraId="3232FA0F" w14:textId="7F371484" w:rsidR="00CB52DB" w:rsidRDefault="00CB52DB" w:rsidP="000C5F23">
      <w:pPr>
        <w:pStyle w:val="BodyText"/>
      </w:pPr>
      <w:r>
        <w:t>B</w:t>
      </w:r>
      <w:r w:rsidRPr="00D677AF">
        <w:t>oth initial and continuation of therapy requests</w:t>
      </w:r>
      <w:r>
        <w:t>:</w:t>
      </w:r>
    </w:p>
    <w:p w14:paraId="0BA0BBE6" w14:textId="77777777" w:rsidR="00CB52DB" w:rsidRPr="00CD5363" w:rsidRDefault="00CB52DB" w:rsidP="00CB52DB">
      <w:pPr>
        <w:pStyle w:val="ListParagraph"/>
        <w:numPr>
          <w:ilvl w:val="0"/>
          <w:numId w:val="28"/>
        </w:numPr>
      </w:pPr>
      <w:r w:rsidRPr="00CD5363">
        <w:lastRenderedPageBreak/>
        <w:t>Growth chart</w:t>
      </w:r>
    </w:p>
    <w:p w14:paraId="53B6D588" w14:textId="7AD49672" w:rsidR="00CB52DB" w:rsidRDefault="00CB52DB" w:rsidP="000C5F23">
      <w:pPr>
        <w:pStyle w:val="ListParagraph"/>
        <w:numPr>
          <w:ilvl w:val="0"/>
          <w:numId w:val="28"/>
        </w:numPr>
      </w:pPr>
      <w:r w:rsidRPr="00CD5363">
        <w:t xml:space="preserve">Pretreatment or current </w:t>
      </w:r>
      <w:r w:rsidR="00E04226">
        <w:t>insulin-like growth factor-1 (</w:t>
      </w:r>
      <w:r w:rsidRPr="00CD5363">
        <w:t>IGF-1</w:t>
      </w:r>
      <w:r w:rsidR="00E04226">
        <w:t xml:space="preserve">) </w:t>
      </w:r>
      <w:r w:rsidRPr="00CD5363">
        <w:t>level (laboratory report or medical record documentation)</w:t>
      </w:r>
    </w:p>
    <w:p w14:paraId="0C17AC07" w14:textId="2DDB504C" w:rsidR="00CB52DB" w:rsidRPr="00CD5363" w:rsidRDefault="00CB52DB" w:rsidP="00164C7F">
      <w:r>
        <w:t>Initial requests:</w:t>
      </w:r>
    </w:p>
    <w:p w14:paraId="3D9E7A9E" w14:textId="010AB1AC" w:rsidR="00E83C61" w:rsidRPr="00CD5363" w:rsidRDefault="00D20B6D" w:rsidP="00E83C61">
      <w:pPr>
        <w:pStyle w:val="ListParagraph"/>
        <w:numPr>
          <w:ilvl w:val="0"/>
          <w:numId w:val="28"/>
        </w:numPr>
      </w:pPr>
      <w:r>
        <w:t>S</w:t>
      </w:r>
      <w:r w:rsidR="00E83C61" w:rsidRPr="00CD5363">
        <w:t>upport</w:t>
      </w:r>
      <w:r>
        <w:t xml:space="preserve"> for</w:t>
      </w:r>
      <w:r w:rsidR="00E83C61" w:rsidRPr="00CD5363">
        <w:t xml:space="preserve"> the diagnosis of neonatal </w:t>
      </w:r>
      <w:r w:rsidR="00CB52DB">
        <w:t>growth hormone (</w:t>
      </w:r>
      <w:r w:rsidR="00E83C61" w:rsidRPr="00CD5363">
        <w:t>GH</w:t>
      </w:r>
      <w:r w:rsidR="00CB52DB">
        <w:t>)</w:t>
      </w:r>
      <w:r w:rsidR="00E83C61" w:rsidRPr="00CD5363">
        <w:t xml:space="preserve"> deficiency</w:t>
      </w:r>
      <w:r>
        <w:t xml:space="preserve"> (m</w:t>
      </w:r>
      <w:r w:rsidRPr="00CD5363">
        <w:t>edical record</w:t>
      </w:r>
      <w:r>
        <w:t xml:space="preserve"> documentation, laboratory report, or imaging</w:t>
      </w:r>
      <w:r w:rsidRPr="00CD5363">
        <w:t xml:space="preserve"> </w:t>
      </w:r>
      <w:r>
        <w:t>report)</w:t>
      </w:r>
    </w:p>
    <w:p w14:paraId="03D2CC47" w14:textId="59C40247" w:rsidR="00E83C61" w:rsidRPr="00CD5363" w:rsidRDefault="00E83C61" w:rsidP="00E83C61">
      <w:pPr>
        <w:pStyle w:val="ListParagraph"/>
        <w:numPr>
          <w:ilvl w:val="0"/>
          <w:numId w:val="28"/>
        </w:numPr>
      </w:pPr>
      <w:r w:rsidRPr="00CD5363">
        <w:t>Pretreatment growth hormone provocative test result(s) (laboratory report or medical record documentation)</w:t>
      </w:r>
    </w:p>
    <w:p w14:paraId="51B7EEB6" w14:textId="546E7F1D" w:rsidR="00E83C61" w:rsidRPr="00CD5363" w:rsidRDefault="00CB52DB" w:rsidP="00164C7F">
      <w:r>
        <w:t>C</w:t>
      </w:r>
      <w:r w:rsidR="00E83C61" w:rsidRPr="00CD5363">
        <w:t xml:space="preserve">ontinuation of therapy requests: </w:t>
      </w:r>
    </w:p>
    <w:p w14:paraId="184DA9AA" w14:textId="68AD1330" w:rsidR="00E83C61" w:rsidRPr="00CD5363" w:rsidRDefault="00E83C61" w:rsidP="00164C7F">
      <w:pPr>
        <w:pStyle w:val="ListParagraph"/>
        <w:numPr>
          <w:ilvl w:val="0"/>
          <w:numId w:val="28"/>
        </w:numPr>
      </w:pPr>
      <w:r w:rsidRPr="00CD5363">
        <w:t>Total duration of treatment (approximate duration is acceptable)</w:t>
      </w:r>
    </w:p>
    <w:p w14:paraId="7672A7A9" w14:textId="44B17E80" w:rsidR="00E83C61" w:rsidRPr="00CD5363" w:rsidRDefault="00E83C61" w:rsidP="00164C7F">
      <w:pPr>
        <w:pStyle w:val="ListParagraph"/>
        <w:numPr>
          <w:ilvl w:val="0"/>
          <w:numId w:val="28"/>
        </w:numPr>
      </w:pPr>
      <w:r w:rsidRPr="00CD5363">
        <w:t>Date of last dose administered</w:t>
      </w:r>
    </w:p>
    <w:p w14:paraId="2796F47C" w14:textId="0D2C8079" w:rsidR="00E83C61" w:rsidRPr="00CD5363" w:rsidRDefault="00E83C61" w:rsidP="00164C7F">
      <w:pPr>
        <w:pStyle w:val="ListParagraph"/>
        <w:numPr>
          <w:ilvl w:val="0"/>
          <w:numId w:val="28"/>
        </w:numPr>
      </w:pPr>
      <w:r w:rsidRPr="00CD5363">
        <w:t>Approving health plan/pharmacy benefit manager</w:t>
      </w:r>
    </w:p>
    <w:p w14:paraId="652DF6B6" w14:textId="72F104A7" w:rsidR="00E83C61" w:rsidRPr="00CD5363" w:rsidRDefault="00E83C61" w:rsidP="00164C7F">
      <w:pPr>
        <w:pStyle w:val="ListParagraph"/>
        <w:numPr>
          <w:ilvl w:val="0"/>
          <w:numId w:val="28"/>
        </w:numPr>
      </w:pPr>
      <w:r w:rsidRPr="00CD5363">
        <w:t>Date of prior authorization/approval</w:t>
      </w:r>
    </w:p>
    <w:p w14:paraId="0C376360" w14:textId="75413FB1" w:rsidR="00E83C61" w:rsidRPr="00CD5363" w:rsidRDefault="00E83C61" w:rsidP="00164C7F">
      <w:pPr>
        <w:pStyle w:val="ListParagraph"/>
        <w:numPr>
          <w:ilvl w:val="0"/>
          <w:numId w:val="28"/>
        </w:numPr>
      </w:pPr>
      <w:r w:rsidRPr="00CD5363">
        <w:t>Prior authorization approval letter</w:t>
      </w:r>
    </w:p>
    <w:p w14:paraId="201A0802" w14:textId="2E0F6EC7" w:rsidR="00E83C61" w:rsidRPr="00CD5363" w:rsidRDefault="00E83C61" w:rsidP="000C5F23">
      <w:pPr>
        <w:pStyle w:val="BodyText"/>
      </w:pPr>
      <w:r w:rsidRPr="00CD5363">
        <w:t>IGF-1 levels vary based on the laboratory performing the analysis. Laboratory-specific values must be provided to determine whether the value is within the normal range.</w:t>
      </w:r>
    </w:p>
    <w:p w14:paraId="50A38FBA" w14:textId="5BD27FEE" w:rsidR="00FE0C63" w:rsidRPr="00CD5363" w:rsidRDefault="00685107" w:rsidP="00E050E1">
      <w:pPr>
        <w:pStyle w:val="Heading2"/>
      </w:pPr>
      <w:r w:rsidRPr="00CD5363">
        <w:t>Coverage Criteria</w:t>
      </w:r>
    </w:p>
    <w:p w14:paraId="365595D2" w14:textId="4498D467" w:rsidR="00E83C61" w:rsidRPr="00CD5363" w:rsidRDefault="00E83C61" w:rsidP="00E83C61">
      <w:pPr>
        <w:pStyle w:val="Heading3"/>
      </w:pPr>
      <w:r w:rsidRPr="00CD5363">
        <w:t>Pediatric Growth Hormone (GH) Deficiency</w:t>
      </w:r>
      <w:r w:rsidRPr="00CD5363">
        <w:rPr>
          <w:vertAlign w:val="superscript"/>
        </w:rPr>
        <w:t>1,3,</w:t>
      </w:r>
      <w:r w:rsidR="007B432C">
        <w:rPr>
          <w:vertAlign w:val="superscript"/>
        </w:rPr>
        <w:t>6</w:t>
      </w:r>
      <w:r w:rsidRPr="00CD5363">
        <w:rPr>
          <w:vertAlign w:val="superscript"/>
        </w:rPr>
        <w:t>-</w:t>
      </w:r>
      <w:r w:rsidR="007B432C">
        <w:rPr>
          <w:vertAlign w:val="superscript"/>
        </w:rPr>
        <w:t>9</w:t>
      </w:r>
    </w:p>
    <w:p w14:paraId="39E308D0" w14:textId="211989B5" w:rsidR="00EC1FEB" w:rsidRPr="00CD5363" w:rsidRDefault="00EC1FEB" w:rsidP="000C5F23">
      <w:pPr>
        <w:pStyle w:val="BodyText"/>
      </w:pPr>
      <w:r w:rsidRPr="00CD5363">
        <w:t xml:space="preserve">Authorization of 12 months may be granted to members with pediatric growth hormone (GH) deficiency 2.5 years of age or older when EITHER </w:t>
      </w:r>
      <w:r w:rsidR="00E62633">
        <w:t xml:space="preserve">of the following </w:t>
      </w:r>
      <w:r w:rsidRPr="00CD5363">
        <w:t>criteria is met:</w:t>
      </w:r>
    </w:p>
    <w:p w14:paraId="0B9BFA87" w14:textId="7109EAD5" w:rsidR="00EC1FEB" w:rsidRPr="00CD5363" w:rsidRDefault="00EC1FEB" w:rsidP="00EC1FEB">
      <w:pPr>
        <w:pStyle w:val="ListParagraph"/>
        <w:numPr>
          <w:ilvl w:val="0"/>
          <w:numId w:val="31"/>
        </w:numPr>
      </w:pPr>
      <w:r w:rsidRPr="00CD5363">
        <w:t xml:space="preserve">Member </w:t>
      </w:r>
      <w:r w:rsidR="005B6A10">
        <w:t>h</w:t>
      </w:r>
      <w:r w:rsidRPr="00CD5363">
        <w:t xml:space="preserve">as </w:t>
      </w:r>
      <w:r w:rsidR="005B6A10">
        <w:t xml:space="preserve">a documented </w:t>
      </w:r>
      <w:r w:rsidRPr="00CD5363">
        <w:t>diagnos</w:t>
      </w:r>
      <w:r w:rsidR="005B6A10">
        <w:t>is</w:t>
      </w:r>
      <w:r w:rsidRPr="00CD5363">
        <w:t xml:space="preserve"> </w:t>
      </w:r>
      <w:r w:rsidR="005B6A10">
        <w:t>of</w:t>
      </w:r>
      <w:r w:rsidRPr="00CD5363">
        <w:t xml:space="preserve"> GH deficiency as a neonate (e.g., hypoglycemia with random GH level, evidence of multiple pituitary hormone deficiency, magnetic resonance imaging [MRI] results).</w:t>
      </w:r>
    </w:p>
    <w:p w14:paraId="79E6C071" w14:textId="00AE974D" w:rsidR="00EC1FEB" w:rsidRPr="00CD5363" w:rsidRDefault="00EC1FEB" w:rsidP="00EC1FEB">
      <w:pPr>
        <w:pStyle w:val="ListParagraph"/>
        <w:numPr>
          <w:ilvl w:val="0"/>
          <w:numId w:val="31"/>
        </w:numPr>
      </w:pPr>
      <w:r w:rsidRPr="00CD5363">
        <w:t xml:space="preserve">Member meets </w:t>
      </w:r>
      <w:proofErr w:type="gramStart"/>
      <w:r w:rsidRPr="00CD5363">
        <w:t>ALL of</w:t>
      </w:r>
      <w:proofErr w:type="gramEnd"/>
      <w:r w:rsidRPr="00CD5363">
        <w:t xml:space="preserve"> the following</w:t>
      </w:r>
      <w:r w:rsidR="005B6A10">
        <w:t xml:space="preserve"> criteria</w:t>
      </w:r>
      <w:r w:rsidRPr="00CD5363">
        <w:t>:</w:t>
      </w:r>
    </w:p>
    <w:p w14:paraId="2471A01F" w14:textId="6F93CB8F" w:rsidR="00EC1FEB" w:rsidRPr="00CD5363" w:rsidRDefault="00EC1FEB" w:rsidP="00EC1FEB">
      <w:pPr>
        <w:pStyle w:val="ListParagraph"/>
        <w:numPr>
          <w:ilvl w:val="1"/>
          <w:numId w:val="33"/>
        </w:numPr>
      </w:pPr>
      <w:r w:rsidRPr="00CD5363">
        <w:t xml:space="preserve">Member has </w:t>
      </w:r>
      <w:r w:rsidR="00EF3046">
        <w:t>either</w:t>
      </w:r>
      <w:r w:rsidR="00144A2B">
        <w:t xml:space="preserve"> of the following</w:t>
      </w:r>
      <w:r w:rsidRPr="00CD5363">
        <w:t>:</w:t>
      </w:r>
    </w:p>
    <w:p w14:paraId="36187C7C" w14:textId="2482E3FE" w:rsidR="00EC1FEB" w:rsidRPr="00CD5363" w:rsidRDefault="00EC1FEB" w:rsidP="00EC1FEB">
      <w:pPr>
        <w:pStyle w:val="ListParagraph"/>
        <w:numPr>
          <w:ilvl w:val="2"/>
          <w:numId w:val="36"/>
        </w:numPr>
      </w:pPr>
      <w:r w:rsidRPr="00CD5363">
        <w:t>Two pretreatment pharmacologic provocative GH tests with both results demonstrating a peak GH level &lt; 10 ng/mL</w:t>
      </w:r>
    </w:p>
    <w:p w14:paraId="646C75DD" w14:textId="4C714F6E" w:rsidR="00EC1FEB" w:rsidRPr="00CD5363" w:rsidRDefault="00EC1FEB" w:rsidP="00EC1FEB">
      <w:pPr>
        <w:pStyle w:val="ListParagraph"/>
        <w:numPr>
          <w:ilvl w:val="2"/>
          <w:numId w:val="36"/>
        </w:numPr>
      </w:pPr>
      <w:r w:rsidRPr="00CD5363">
        <w:t xml:space="preserve">A documented pituitary or </w:t>
      </w:r>
      <w:r w:rsidR="00E62633">
        <w:t>central nervous</w:t>
      </w:r>
      <w:r w:rsidR="00CB52DB">
        <w:t xml:space="preserve"> system</w:t>
      </w:r>
      <w:r w:rsidR="00E62633">
        <w:t xml:space="preserve"> (</w:t>
      </w:r>
      <w:r w:rsidRPr="00CD5363">
        <w:t>CNS</w:t>
      </w:r>
      <w:r w:rsidR="00E62633">
        <w:t>)</w:t>
      </w:r>
      <w:r w:rsidRPr="00CD5363">
        <w:t xml:space="preserve"> disorder (</w:t>
      </w:r>
      <w:r w:rsidR="00353393">
        <w:t>see</w:t>
      </w:r>
      <w:r w:rsidRPr="00CD5363">
        <w:t xml:space="preserve"> Appendix A) and a pretreatment IGF-1 level &gt; 2 standard deviations (SD) below the mean</w:t>
      </w:r>
    </w:p>
    <w:p w14:paraId="2FF290CE" w14:textId="320105BB" w:rsidR="00EC1FEB" w:rsidRPr="00CD5363" w:rsidRDefault="00EC1FEB" w:rsidP="00EC1FEB">
      <w:pPr>
        <w:pStyle w:val="ListParagraph"/>
        <w:numPr>
          <w:ilvl w:val="1"/>
          <w:numId w:val="33"/>
        </w:numPr>
      </w:pPr>
      <w:r w:rsidRPr="00CD5363">
        <w:t xml:space="preserve">Member meets </w:t>
      </w:r>
      <w:r w:rsidR="00F70C63">
        <w:t>either</w:t>
      </w:r>
      <w:r w:rsidRPr="00CD5363">
        <w:t xml:space="preserve"> of the following:</w:t>
      </w:r>
    </w:p>
    <w:p w14:paraId="07A9E96F" w14:textId="6C459772" w:rsidR="00EC1FEB" w:rsidRPr="00CD5363" w:rsidRDefault="00EC1FEB" w:rsidP="00EC1FEB">
      <w:pPr>
        <w:pStyle w:val="ListParagraph"/>
        <w:numPr>
          <w:ilvl w:val="2"/>
          <w:numId w:val="37"/>
        </w:numPr>
      </w:pPr>
      <w:r w:rsidRPr="00CD5363">
        <w:t>Pretreatment height is &gt; 2 SD below the mean and 1-year height velocity is &gt; 1 SD below the mean</w:t>
      </w:r>
    </w:p>
    <w:p w14:paraId="1C6CFC73" w14:textId="6698CCD1" w:rsidR="00EC1FEB" w:rsidRPr="00CD5363" w:rsidRDefault="00EC1FEB" w:rsidP="00EC1FEB">
      <w:pPr>
        <w:pStyle w:val="ListParagraph"/>
        <w:numPr>
          <w:ilvl w:val="2"/>
          <w:numId w:val="37"/>
        </w:numPr>
      </w:pPr>
      <w:r w:rsidRPr="00CD5363">
        <w:t>Pretreatment 1-year height velocity is &gt; 2 SD below the mean</w:t>
      </w:r>
    </w:p>
    <w:p w14:paraId="1E9CE97D" w14:textId="1490ADCC" w:rsidR="00EC1FEB" w:rsidRPr="00CD5363" w:rsidRDefault="00EC1FEB" w:rsidP="00EC1FEB">
      <w:pPr>
        <w:pStyle w:val="ListParagraph"/>
        <w:numPr>
          <w:ilvl w:val="1"/>
          <w:numId w:val="33"/>
        </w:numPr>
      </w:pPr>
      <w:r w:rsidRPr="00CD5363">
        <w:t>Epiphyses are open</w:t>
      </w:r>
    </w:p>
    <w:p w14:paraId="70ABF82B" w14:textId="64102B4C" w:rsidR="00EC1FEB" w:rsidRPr="00CD5363" w:rsidRDefault="00EC1FEB" w:rsidP="00EC1FEB">
      <w:pPr>
        <w:pStyle w:val="Heading3"/>
      </w:pPr>
      <w:r w:rsidRPr="00CD5363">
        <w:lastRenderedPageBreak/>
        <w:t>Adult Growth Hormone (GH) Deficiency</w:t>
      </w:r>
      <w:r w:rsidRPr="00CD5363">
        <w:rPr>
          <w:vertAlign w:val="superscript"/>
        </w:rPr>
        <w:t>1-</w:t>
      </w:r>
      <w:r w:rsidR="00254A6A">
        <w:rPr>
          <w:vertAlign w:val="superscript"/>
        </w:rPr>
        <w:t>5</w:t>
      </w:r>
    </w:p>
    <w:p w14:paraId="4CE4C8B0" w14:textId="22AE2AB4" w:rsidR="00EC1FEB" w:rsidRPr="00164C7F" w:rsidRDefault="00EC1FEB" w:rsidP="00325CBF">
      <w:pPr>
        <w:pStyle w:val="BodyText"/>
        <w:spacing w:after="0"/>
      </w:pPr>
      <w:r w:rsidRPr="00CD5363">
        <w:t xml:space="preserve">Authorization of 12 months may be granted to members with adult growth hormone (GH) deficiency when ANY of the </w:t>
      </w:r>
      <w:r w:rsidRPr="00164C7F">
        <w:t>following criteria is met:</w:t>
      </w:r>
    </w:p>
    <w:p w14:paraId="5B791270" w14:textId="44199C39" w:rsidR="00EC1FEB" w:rsidRPr="00164C7F" w:rsidRDefault="00EC1FEB" w:rsidP="00325CBF">
      <w:pPr>
        <w:pStyle w:val="ListParagraph"/>
        <w:numPr>
          <w:ilvl w:val="0"/>
          <w:numId w:val="46"/>
        </w:numPr>
      </w:pPr>
      <w:r w:rsidRPr="00164C7F">
        <w:t>Member meets both of the following</w:t>
      </w:r>
      <w:r w:rsidR="004E67EC" w:rsidRPr="00164C7F">
        <w:t xml:space="preserve"> criteria</w:t>
      </w:r>
      <w:r w:rsidRPr="00164C7F">
        <w:t>:</w:t>
      </w:r>
    </w:p>
    <w:p w14:paraId="4EC54314" w14:textId="5918ED7C" w:rsidR="00EC1FEB" w:rsidRPr="00164C7F" w:rsidRDefault="00EC1FEB" w:rsidP="00325CBF">
      <w:pPr>
        <w:pStyle w:val="ListParagraph"/>
        <w:numPr>
          <w:ilvl w:val="1"/>
          <w:numId w:val="50"/>
        </w:numPr>
      </w:pPr>
      <w:r w:rsidRPr="00164C7F">
        <w:t>Member has had 2 pretreatment pharmacologic provocative GH tests and both results demonstrated deficient GH responses defined as</w:t>
      </w:r>
      <w:r w:rsidR="0059141A" w:rsidRPr="00164C7F">
        <w:t xml:space="preserve"> any of</w:t>
      </w:r>
      <w:r w:rsidRPr="00164C7F">
        <w:t xml:space="preserve"> the following:</w:t>
      </w:r>
    </w:p>
    <w:p w14:paraId="00AB41CB" w14:textId="7929F51C" w:rsidR="00EC1FEB" w:rsidRPr="00164C7F" w:rsidRDefault="00EC1FEB" w:rsidP="00325CBF">
      <w:pPr>
        <w:pStyle w:val="ListParagraph"/>
        <w:numPr>
          <w:ilvl w:val="2"/>
          <w:numId w:val="36"/>
        </w:numPr>
      </w:pPr>
      <w:r w:rsidRPr="00164C7F">
        <w:t xml:space="preserve">Insulin tolerance test (ITT) with a peak GH level </w:t>
      </w:r>
      <w:r w:rsidRPr="00164C7F">
        <w:rPr>
          <w:rFonts w:ascii="Arial" w:hAnsi="Arial"/>
        </w:rPr>
        <w:t>≤</w:t>
      </w:r>
      <w:r w:rsidRPr="00164C7F">
        <w:t xml:space="preserve"> 5 ng/mL</w:t>
      </w:r>
    </w:p>
    <w:p w14:paraId="4507AEF6" w14:textId="44CFD950" w:rsidR="00EC1FEB" w:rsidRPr="00164C7F" w:rsidRDefault="00EC1FEB" w:rsidP="00325CBF">
      <w:pPr>
        <w:pStyle w:val="ListParagraph"/>
        <w:numPr>
          <w:ilvl w:val="2"/>
          <w:numId w:val="36"/>
        </w:numPr>
      </w:pPr>
      <w:r w:rsidRPr="00164C7F">
        <w:t xml:space="preserve">Macrilen with a peak GH level </w:t>
      </w:r>
      <w:r w:rsidR="00C4505E" w:rsidRPr="00164C7F">
        <w:t>&lt;</w:t>
      </w:r>
      <w:r w:rsidRPr="00164C7F">
        <w:t xml:space="preserve"> 2.8 ng/mL</w:t>
      </w:r>
    </w:p>
    <w:p w14:paraId="52CFDF45" w14:textId="6F0BBB47" w:rsidR="00EC1FEB" w:rsidRPr="00164C7F" w:rsidRDefault="00EC1FEB" w:rsidP="00325CBF">
      <w:pPr>
        <w:pStyle w:val="ListParagraph"/>
        <w:numPr>
          <w:ilvl w:val="2"/>
          <w:numId w:val="36"/>
        </w:numPr>
      </w:pPr>
      <w:r w:rsidRPr="00164C7F">
        <w:t xml:space="preserve">Glucagon stimulation test with a peak GH level </w:t>
      </w:r>
      <w:r w:rsidRPr="00164C7F">
        <w:rPr>
          <w:rFonts w:ascii="Arial" w:hAnsi="Arial"/>
        </w:rPr>
        <w:t>≤</w:t>
      </w:r>
      <w:r w:rsidRPr="00164C7F">
        <w:t xml:space="preserve"> 3.0 ng/mL in patients with a body mass index (BMI) </w:t>
      </w:r>
      <w:r w:rsidRPr="00164C7F">
        <w:rPr>
          <w:rFonts w:ascii="Arial" w:hAnsi="Arial"/>
        </w:rPr>
        <w:t>≤</w:t>
      </w:r>
      <w:r w:rsidRPr="00164C7F">
        <w:t xml:space="preserve"> 30 kg/m2 and a high pretest probability of GHD (e.g., acquired structural abnormalities) OR a BMI &lt; 25 kg/m</w:t>
      </w:r>
      <w:r w:rsidRPr="00164C7F">
        <w:rPr>
          <w:vertAlign w:val="superscript"/>
        </w:rPr>
        <w:t>2</w:t>
      </w:r>
    </w:p>
    <w:p w14:paraId="0BB53F73" w14:textId="2B729A8A" w:rsidR="00EC1FEB" w:rsidRPr="00164C7F" w:rsidRDefault="00EC1FEB" w:rsidP="00325CBF">
      <w:pPr>
        <w:pStyle w:val="ListParagraph"/>
        <w:numPr>
          <w:ilvl w:val="2"/>
          <w:numId w:val="36"/>
        </w:numPr>
      </w:pPr>
      <w:r w:rsidRPr="00164C7F">
        <w:t xml:space="preserve">Glucagon stimulation test with a peak GH level </w:t>
      </w:r>
      <w:r w:rsidRPr="00164C7F">
        <w:rPr>
          <w:rFonts w:ascii="Arial" w:hAnsi="Arial"/>
        </w:rPr>
        <w:t>≤</w:t>
      </w:r>
      <w:r w:rsidRPr="00164C7F">
        <w:t xml:space="preserve"> 1.0 ng/mL in patients with a BMI of </w:t>
      </w:r>
      <w:r w:rsidRPr="00164C7F">
        <w:rPr>
          <w:rFonts w:ascii="Arial" w:hAnsi="Arial"/>
        </w:rPr>
        <w:t>≥</w:t>
      </w:r>
      <w:r w:rsidRPr="00164C7F">
        <w:t xml:space="preserve"> 25 kg/m2 and a low pretest probability of GHD (e.g., acquired structural abnormalities) OR a BMI &gt; 30 kg/m</w:t>
      </w:r>
      <w:r w:rsidRPr="00164C7F">
        <w:rPr>
          <w:vertAlign w:val="superscript"/>
        </w:rPr>
        <w:t>2</w:t>
      </w:r>
    </w:p>
    <w:p w14:paraId="434FC909" w14:textId="1D476DAD" w:rsidR="00EC1FEB" w:rsidRPr="00164C7F" w:rsidRDefault="00EC1FEB" w:rsidP="00325CBF">
      <w:pPr>
        <w:pStyle w:val="ListParagraph"/>
        <w:numPr>
          <w:ilvl w:val="1"/>
          <w:numId w:val="50"/>
        </w:numPr>
      </w:pPr>
      <w:r w:rsidRPr="00164C7F">
        <w:t xml:space="preserve">Member has a pretreatment IGF-1 </w:t>
      </w:r>
      <w:r w:rsidR="00C4505E" w:rsidRPr="00164C7F">
        <w:t xml:space="preserve">level </w:t>
      </w:r>
      <w:r w:rsidRPr="00164C7F">
        <w:t>0 to 2 SD below the mean for age and gender</w:t>
      </w:r>
    </w:p>
    <w:p w14:paraId="66E04931" w14:textId="7AB7B86A" w:rsidR="00EC1FEB" w:rsidRPr="00164C7F" w:rsidRDefault="00EC1FEB" w:rsidP="00325CBF">
      <w:pPr>
        <w:pStyle w:val="ListParagraph"/>
        <w:numPr>
          <w:ilvl w:val="0"/>
          <w:numId w:val="46"/>
        </w:numPr>
      </w:pPr>
      <w:r w:rsidRPr="00164C7F">
        <w:t>Member meets both of the following</w:t>
      </w:r>
      <w:r w:rsidR="004E67EC" w:rsidRPr="00164C7F">
        <w:t xml:space="preserve"> criteria</w:t>
      </w:r>
      <w:r w:rsidRPr="00164C7F">
        <w:t>:</w:t>
      </w:r>
    </w:p>
    <w:p w14:paraId="4564BE5B" w14:textId="58474B28" w:rsidR="00EC1FEB" w:rsidRPr="00164C7F" w:rsidRDefault="00EC1FEB" w:rsidP="00325CBF">
      <w:pPr>
        <w:pStyle w:val="ListParagraph"/>
        <w:numPr>
          <w:ilvl w:val="1"/>
          <w:numId w:val="50"/>
        </w:numPr>
      </w:pPr>
      <w:r w:rsidRPr="00164C7F">
        <w:t xml:space="preserve">Member has had 1 pretreatment pharmacologic provocative GH test that demonstrated deficient GH responses defined as </w:t>
      </w:r>
      <w:r w:rsidR="00C4505E" w:rsidRPr="00164C7F">
        <w:t>any</w:t>
      </w:r>
      <w:r w:rsidRPr="00164C7F">
        <w:t xml:space="preserve"> of the following:</w:t>
      </w:r>
    </w:p>
    <w:p w14:paraId="44E795EE" w14:textId="4F9A07A2" w:rsidR="00EC1FEB" w:rsidRPr="00164C7F" w:rsidRDefault="00EC1FEB" w:rsidP="00325CBF">
      <w:pPr>
        <w:pStyle w:val="ListParagraph"/>
        <w:numPr>
          <w:ilvl w:val="2"/>
          <w:numId w:val="36"/>
        </w:numPr>
      </w:pPr>
      <w:r w:rsidRPr="00164C7F">
        <w:t xml:space="preserve">Insulin tolerance test (ITT) with a peak GH level </w:t>
      </w:r>
      <w:r w:rsidRPr="00164C7F">
        <w:rPr>
          <w:rFonts w:ascii="Arial" w:hAnsi="Arial"/>
        </w:rPr>
        <w:t>≤</w:t>
      </w:r>
      <w:r w:rsidRPr="00164C7F">
        <w:t xml:space="preserve"> 5 ng/mL</w:t>
      </w:r>
    </w:p>
    <w:p w14:paraId="036FA262" w14:textId="421B180B" w:rsidR="00EC1FEB" w:rsidRPr="00164C7F" w:rsidRDefault="00EC1FEB" w:rsidP="00325CBF">
      <w:pPr>
        <w:pStyle w:val="ListParagraph"/>
        <w:numPr>
          <w:ilvl w:val="2"/>
          <w:numId w:val="36"/>
        </w:numPr>
      </w:pPr>
      <w:r w:rsidRPr="00164C7F">
        <w:t xml:space="preserve">Macrilen with a peak GH level </w:t>
      </w:r>
      <w:r w:rsidR="00C4505E" w:rsidRPr="00164C7F">
        <w:t>&lt;</w:t>
      </w:r>
      <w:r w:rsidRPr="00164C7F">
        <w:t xml:space="preserve"> 2.8 ng/mL</w:t>
      </w:r>
    </w:p>
    <w:p w14:paraId="6CB531B0" w14:textId="27D10811" w:rsidR="00EC1FEB" w:rsidRPr="00164C7F" w:rsidRDefault="00EC1FEB" w:rsidP="00325CBF">
      <w:pPr>
        <w:pStyle w:val="ListParagraph"/>
        <w:numPr>
          <w:ilvl w:val="2"/>
          <w:numId w:val="36"/>
        </w:numPr>
      </w:pPr>
      <w:r w:rsidRPr="00164C7F">
        <w:t xml:space="preserve">Glucagon stimulation test with a peak GH level </w:t>
      </w:r>
      <w:r w:rsidRPr="00164C7F">
        <w:rPr>
          <w:rFonts w:ascii="Arial" w:hAnsi="Arial"/>
        </w:rPr>
        <w:t>≤</w:t>
      </w:r>
      <w:r w:rsidRPr="00164C7F">
        <w:t xml:space="preserve"> 3.0 ng/mL in patients with a body mass index (BMI) </w:t>
      </w:r>
      <w:r w:rsidRPr="00164C7F">
        <w:rPr>
          <w:rFonts w:ascii="Arial" w:hAnsi="Arial"/>
        </w:rPr>
        <w:t>≤</w:t>
      </w:r>
      <w:r w:rsidRPr="00164C7F">
        <w:t xml:space="preserve"> 30 kg/m</w:t>
      </w:r>
      <w:r w:rsidRPr="00164C7F">
        <w:rPr>
          <w:vertAlign w:val="superscript"/>
        </w:rPr>
        <w:t>2</w:t>
      </w:r>
      <w:r w:rsidRPr="00164C7F">
        <w:t xml:space="preserve"> and a high pretest probability of GHD (e.g., acquired structural abnormalities) OR a BMI &lt; 25 kg/m</w:t>
      </w:r>
      <w:r w:rsidRPr="00164C7F">
        <w:rPr>
          <w:vertAlign w:val="superscript"/>
        </w:rPr>
        <w:t>2</w:t>
      </w:r>
    </w:p>
    <w:p w14:paraId="7E400D97" w14:textId="3E54AAB4" w:rsidR="00EC1FEB" w:rsidRPr="00164C7F" w:rsidRDefault="00EC1FEB" w:rsidP="00325CBF">
      <w:pPr>
        <w:pStyle w:val="ListParagraph"/>
        <w:numPr>
          <w:ilvl w:val="2"/>
          <w:numId w:val="36"/>
        </w:numPr>
      </w:pPr>
      <w:r w:rsidRPr="00164C7F">
        <w:t xml:space="preserve">Glucagon stimulation test with a peak GH level </w:t>
      </w:r>
      <w:r w:rsidRPr="00164C7F">
        <w:rPr>
          <w:rFonts w:ascii="Arial" w:hAnsi="Arial"/>
        </w:rPr>
        <w:t>≤</w:t>
      </w:r>
      <w:r w:rsidRPr="00164C7F">
        <w:t xml:space="preserve"> 1.0 ng/mL in patients with a BMI of </w:t>
      </w:r>
      <w:r w:rsidRPr="00164C7F">
        <w:rPr>
          <w:rFonts w:ascii="Arial" w:hAnsi="Arial"/>
        </w:rPr>
        <w:t>≥</w:t>
      </w:r>
      <w:r w:rsidRPr="00164C7F">
        <w:t xml:space="preserve"> 25 kg/m</w:t>
      </w:r>
      <w:r w:rsidRPr="00164C7F">
        <w:rPr>
          <w:vertAlign w:val="superscript"/>
        </w:rPr>
        <w:t>2</w:t>
      </w:r>
      <w:r w:rsidRPr="00164C7F">
        <w:t xml:space="preserve"> and a low pretest probability of GHD (e.g., acquired structural abnormalities) OR a BMI &gt; 30 kg/m</w:t>
      </w:r>
      <w:r w:rsidRPr="00164C7F">
        <w:rPr>
          <w:vertAlign w:val="superscript"/>
        </w:rPr>
        <w:t>2</w:t>
      </w:r>
    </w:p>
    <w:p w14:paraId="7A566658" w14:textId="68B5C27A" w:rsidR="00EC1FEB" w:rsidRPr="00164C7F" w:rsidRDefault="00EC1FEB" w:rsidP="00325CBF">
      <w:pPr>
        <w:pStyle w:val="ListParagraph"/>
        <w:numPr>
          <w:ilvl w:val="1"/>
          <w:numId w:val="50"/>
        </w:numPr>
      </w:pPr>
      <w:r w:rsidRPr="00164C7F">
        <w:t xml:space="preserve">Member has a pretreatment IGF-1 level </w:t>
      </w:r>
      <w:r w:rsidR="00C4505E" w:rsidRPr="00164C7F">
        <w:t>&gt;</w:t>
      </w:r>
      <w:r w:rsidRPr="00164C7F">
        <w:t xml:space="preserve"> 2 SD below the mean for age and gender</w:t>
      </w:r>
    </w:p>
    <w:p w14:paraId="48F20D7B" w14:textId="569ED1E0" w:rsidR="00C4505E" w:rsidRPr="00164C7F" w:rsidRDefault="00C4505E" w:rsidP="00325CBF">
      <w:pPr>
        <w:pStyle w:val="ListParagraph"/>
        <w:numPr>
          <w:ilvl w:val="0"/>
          <w:numId w:val="46"/>
        </w:numPr>
      </w:pPr>
      <w:r w:rsidRPr="00164C7F">
        <w:t>Member meets both of the following criteria:</w:t>
      </w:r>
    </w:p>
    <w:p w14:paraId="0BA23662" w14:textId="1FF2BA48" w:rsidR="00C4505E" w:rsidRPr="00164C7F" w:rsidRDefault="00EC1FEB" w:rsidP="00325CBF">
      <w:pPr>
        <w:pStyle w:val="ListParagraph"/>
        <w:numPr>
          <w:ilvl w:val="1"/>
          <w:numId w:val="50"/>
        </w:numPr>
      </w:pPr>
      <w:r w:rsidRPr="00164C7F">
        <w:t xml:space="preserve">Member has organic hypothalamic-pituitary disease (e.g., suprasellar mass with previous surgery and cranial irradiation) with </w:t>
      </w:r>
      <w:r w:rsidRPr="00164C7F">
        <w:rPr>
          <w:rFonts w:ascii="Arial" w:hAnsi="Arial"/>
        </w:rPr>
        <w:t>≥</w:t>
      </w:r>
      <w:r w:rsidRPr="00164C7F">
        <w:t xml:space="preserve"> 3 documented pituitary hormone deficiencies (</w:t>
      </w:r>
      <w:r w:rsidR="004E67EC" w:rsidRPr="00164C7F">
        <w:t>see</w:t>
      </w:r>
      <w:r w:rsidRPr="00164C7F">
        <w:t xml:space="preserve"> Appendix B)</w:t>
      </w:r>
    </w:p>
    <w:p w14:paraId="5FA12DFC" w14:textId="2C6C7D83" w:rsidR="00EC1FEB" w:rsidRPr="00164C7F" w:rsidRDefault="00C4505E" w:rsidP="00325CBF">
      <w:pPr>
        <w:pStyle w:val="ListParagraph"/>
        <w:numPr>
          <w:ilvl w:val="1"/>
          <w:numId w:val="50"/>
        </w:numPr>
      </w:pPr>
      <w:r w:rsidRPr="00164C7F">
        <w:t xml:space="preserve">Member has </w:t>
      </w:r>
      <w:r w:rsidR="00EC1FEB" w:rsidRPr="00164C7F">
        <w:t xml:space="preserve">a pretreatment IGF-1 </w:t>
      </w:r>
      <w:r w:rsidRPr="00164C7F">
        <w:t>level &gt;</w:t>
      </w:r>
      <w:r w:rsidR="00EC1FEB" w:rsidRPr="00164C7F">
        <w:t xml:space="preserve"> 2 </w:t>
      </w:r>
      <w:r w:rsidRPr="00164C7F">
        <w:t>SD</w:t>
      </w:r>
      <w:r w:rsidR="00EC1FEB" w:rsidRPr="00164C7F">
        <w:t xml:space="preserve"> below the mean for age and gender</w:t>
      </w:r>
    </w:p>
    <w:p w14:paraId="456E0BAA" w14:textId="5917CA5A" w:rsidR="00EC1FEB" w:rsidRPr="00164C7F" w:rsidRDefault="00EC1FEB" w:rsidP="00325CBF">
      <w:pPr>
        <w:pStyle w:val="ListParagraph"/>
        <w:numPr>
          <w:ilvl w:val="0"/>
          <w:numId w:val="46"/>
        </w:numPr>
      </w:pPr>
      <w:r w:rsidRPr="00164C7F">
        <w:t xml:space="preserve">Member has genetic or </w:t>
      </w:r>
      <w:r w:rsidR="00A8305C" w:rsidRPr="00164C7F">
        <w:t xml:space="preserve">congenital </w:t>
      </w:r>
      <w:r w:rsidRPr="00164C7F">
        <w:t>structural hypothalamic-pituitary defects (</w:t>
      </w:r>
      <w:r w:rsidR="004E67EC" w:rsidRPr="00164C7F">
        <w:t>see</w:t>
      </w:r>
      <w:r w:rsidRPr="00164C7F">
        <w:t xml:space="preserve"> Appendix C)</w:t>
      </w:r>
    </w:p>
    <w:p w14:paraId="0ED7DE16" w14:textId="00BACEA4" w:rsidR="00EC1FEB" w:rsidRPr="00164C7F" w:rsidRDefault="00EC1FEB" w:rsidP="00325CBF">
      <w:pPr>
        <w:pStyle w:val="ListParagraph"/>
        <w:numPr>
          <w:ilvl w:val="0"/>
          <w:numId w:val="46"/>
        </w:numPr>
      </w:pPr>
      <w:r w:rsidRPr="00164C7F">
        <w:t>Member has childhood-onset GH deficiency and a congenital abnormality of the CNS, hypothalamus</w:t>
      </w:r>
      <w:r w:rsidR="00C4505E" w:rsidRPr="00164C7F">
        <w:t>,</w:t>
      </w:r>
      <w:r w:rsidRPr="00164C7F">
        <w:t xml:space="preserve"> or pituitary (</w:t>
      </w:r>
      <w:r w:rsidR="004E67EC" w:rsidRPr="00164C7F">
        <w:t>see</w:t>
      </w:r>
      <w:r w:rsidRPr="00164C7F">
        <w:t xml:space="preserve"> Appendix C)</w:t>
      </w:r>
    </w:p>
    <w:p w14:paraId="3A643EC3" w14:textId="48C96BDC" w:rsidR="00A501AC" w:rsidRPr="00164C7F" w:rsidRDefault="00A501AC" w:rsidP="003A58C0">
      <w:pPr>
        <w:pStyle w:val="Heading2"/>
        <w:spacing w:after="0"/>
      </w:pPr>
      <w:r w:rsidRPr="00164C7F">
        <w:lastRenderedPageBreak/>
        <w:t>Continuation of Therapy</w:t>
      </w:r>
    </w:p>
    <w:p w14:paraId="61ADAC04" w14:textId="5E0975E1" w:rsidR="00EC1FEB" w:rsidRPr="00164C7F" w:rsidRDefault="00EC1FEB" w:rsidP="00EC1FEB">
      <w:pPr>
        <w:pStyle w:val="Heading3"/>
        <w:rPr>
          <w:vertAlign w:val="superscript"/>
        </w:rPr>
      </w:pPr>
      <w:r w:rsidRPr="00164C7F">
        <w:t>Pediatric Growth Hormone (GH) Deficiency</w:t>
      </w:r>
      <w:r w:rsidR="00BE409E" w:rsidRPr="00164C7F">
        <w:rPr>
          <w:vertAlign w:val="superscript"/>
        </w:rPr>
        <w:t>1,3,</w:t>
      </w:r>
      <w:r w:rsidR="00575033" w:rsidRPr="00164C7F">
        <w:rPr>
          <w:vertAlign w:val="superscript"/>
        </w:rPr>
        <w:t>6</w:t>
      </w:r>
      <w:r w:rsidR="00BE409E" w:rsidRPr="00164C7F">
        <w:rPr>
          <w:vertAlign w:val="superscript"/>
        </w:rPr>
        <w:t>,11,14</w:t>
      </w:r>
    </w:p>
    <w:p w14:paraId="70F027DE" w14:textId="7E1AB3DF" w:rsidR="00EC1FEB" w:rsidRPr="00164C7F" w:rsidRDefault="00EC1FEB" w:rsidP="003A58C0">
      <w:pPr>
        <w:pStyle w:val="BodyText"/>
      </w:pPr>
      <w:r w:rsidRPr="00164C7F">
        <w:t xml:space="preserve">Authorization of 12 months may be granted for continuation of therapy for pediatric growth hormone (GH) deficiency when </w:t>
      </w:r>
      <w:proofErr w:type="gramStart"/>
      <w:r w:rsidRPr="00164C7F">
        <w:t>ALL of</w:t>
      </w:r>
      <w:proofErr w:type="gramEnd"/>
      <w:r w:rsidRPr="00164C7F">
        <w:t xml:space="preserve"> the following criteria are met</w:t>
      </w:r>
      <w:r w:rsidR="000E199C" w:rsidRPr="00164C7F">
        <w:t>:</w:t>
      </w:r>
    </w:p>
    <w:p w14:paraId="1B6795A9" w14:textId="1365711F" w:rsidR="00EC1FEB" w:rsidRPr="00164C7F" w:rsidRDefault="00EC1FEB" w:rsidP="00EC1FEB">
      <w:pPr>
        <w:pStyle w:val="ListParagraph"/>
        <w:numPr>
          <w:ilvl w:val="0"/>
          <w:numId w:val="46"/>
        </w:numPr>
      </w:pPr>
      <w:r w:rsidRPr="00164C7F">
        <w:t>Member is currently receiving the requested medication or another growth hormone product (e.g., Norditropin) indicated for pediatric GH deficiency</w:t>
      </w:r>
    </w:p>
    <w:p w14:paraId="6FE53967" w14:textId="22B9C3BC" w:rsidR="00EC1FEB" w:rsidRPr="00164C7F" w:rsidRDefault="00EC1FEB" w:rsidP="00EC1FEB">
      <w:pPr>
        <w:pStyle w:val="ListParagraph"/>
        <w:numPr>
          <w:ilvl w:val="0"/>
          <w:numId w:val="46"/>
        </w:numPr>
      </w:pPr>
      <w:r w:rsidRPr="00164C7F">
        <w:t>Epiphyses are open</w:t>
      </w:r>
      <w:r w:rsidRPr="00164C7F">
        <w:rPr>
          <w:vertAlign w:val="superscript"/>
        </w:rPr>
        <w:t xml:space="preserve">1,3 </w:t>
      </w:r>
      <w:r w:rsidRPr="00164C7F">
        <w:t>(confirmed by X-ray or X-ray is not available)</w:t>
      </w:r>
    </w:p>
    <w:p w14:paraId="42077D1C" w14:textId="72B1BBC9" w:rsidR="00EC1FEB" w:rsidRPr="00164C7F" w:rsidRDefault="00EC1FEB" w:rsidP="00EC1FEB">
      <w:pPr>
        <w:pStyle w:val="ListParagraph"/>
        <w:numPr>
          <w:ilvl w:val="0"/>
          <w:numId w:val="46"/>
        </w:numPr>
      </w:pPr>
      <w:r w:rsidRPr="00164C7F">
        <w:t>Member’s growth rate is &gt; 2 cm/year</w:t>
      </w:r>
      <w:r w:rsidRPr="00164C7F">
        <w:rPr>
          <w:vertAlign w:val="superscript"/>
        </w:rPr>
        <w:t>3,</w:t>
      </w:r>
      <w:r w:rsidR="00575033" w:rsidRPr="00164C7F">
        <w:rPr>
          <w:vertAlign w:val="superscript"/>
        </w:rPr>
        <w:t>6</w:t>
      </w:r>
      <w:r w:rsidRPr="00164C7F">
        <w:t xml:space="preserve"> unless there is a documented clinical reason for lack of efficacy (e.g., on treatment less than 1 year, nearing final adult height/late stages of puberty)</w:t>
      </w:r>
      <w:r w:rsidR="00575033" w:rsidRPr="00164C7F">
        <w:rPr>
          <w:vertAlign w:val="superscript"/>
        </w:rPr>
        <w:t>7</w:t>
      </w:r>
    </w:p>
    <w:p w14:paraId="2456A3CD" w14:textId="139205B8" w:rsidR="00EC1FEB" w:rsidRPr="00164C7F" w:rsidRDefault="00EC1FEB" w:rsidP="003A58C0">
      <w:pPr>
        <w:pStyle w:val="Heading3"/>
        <w:spacing w:before="120"/>
      </w:pPr>
      <w:r w:rsidRPr="00164C7F">
        <w:t>Adult Growth Hormone (GH) Deficiency</w:t>
      </w:r>
      <w:r w:rsidRPr="00164C7F">
        <w:rPr>
          <w:vertAlign w:val="superscript"/>
        </w:rPr>
        <w:t>1-7</w:t>
      </w:r>
    </w:p>
    <w:p w14:paraId="1B080739" w14:textId="0E56E251" w:rsidR="00EC1FEB" w:rsidRPr="00164C7F" w:rsidRDefault="00EC1FEB" w:rsidP="003A58C0">
      <w:pPr>
        <w:pStyle w:val="BodyText"/>
        <w:spacing w:after="60"/>
      </w:pPr>
      <w:r w:rsidRPr="00164C7F">
        <w:t xml:space="preserve">Authorization of 12 months may be granted for continuation of therapy for adult growth hormone (GH) deficiency when </w:t>
      </w:r>
      <w:r w:rsidR="003C488E" w:rsidRPr="00164C7F">
        <w:t>both</w:t>
      </w:r>
      <w:r w:rsidRPr="00164C7F">
        <w:t xml:space="preserve"> of the following criteria </w:t>
      </w:r>
      <w:r w:rsidR="00B1068C" w:rsidRPr="00164C7F">
        <w:t>are</w:t>
      </w:r>
      <w:r w:rsidRPr="00164C7F">
        <w:t xml:space="preserve"> met:</w:t>
      </w:r>
    </w:p>
    <w:p w14:paraId="6ED6793B" w14:textId="1023DC27" w:rsidR="00B1068C" w:rsidRPr="00164C7F" w:rsidRDefault="000E199C">
      <w:pPr>
        <w:pStyle w:val="ListParagraph"/>
        <w:numPr>
          <w:ilvl w:val="0"/>
          <w:numId w:val="48"/>
        </w:numPr>
      </w:pPr>
      <w:r w:rsidRPr="00164C7F">
        <w:t>Member is currently receiving the requested medication or another growth hormone product (e.g., Norditropin) indicated for adult GH deficiency</w:t>
      </w:r>
    </w:p>
    <w:p w14:paraId="4959C516" w14:textId="644B30CA" w:rsidR="003C488E" w:rsidRPr="00164C7F" w:rsidRDefault="003C488E" w:rsidP="00164C7F">
      <w:pPr>
        <w:pStyle w:val="ListParagraph"/>
        <w:numPr>
          <w:ilvl w:val="0"/>
          <w:numId w:val="48"/>
        </w:numPr>
      </w:pPr>
      <w:r w:rsidRPr="00164C7F">
        <w:t>Member meets ANY of the following criteria:</w:t>
      </w:r>
    </w:p>
    <w:p w14:paraId="702ADEF8" w14:textId="3830BE37" w:rsidR="000E199C" w:rsidRPr="00164C7F" w:rsidRDefault="000E199C" w:rsidP="00164C7F">
      <w:pPr>
        <w:pStyle w:val="ListParagraph"/>
        <w:numPr>
          <w:ilvl w:val="1"/>
          <w:numId w:val="84"/>
        </w:numPr>
        <w:spacing w:after="0"/>
        <w:contextualSpacing w:val="0"/>
      </w:pPr>
      <w:r w:rsidRPr="00164C7F">
        <w:t>Current IGF-1 level is not elevated for age and gender</w:t>
      </w:r>
    </w:p>
    <w:p w14:paraId="2C9FB744" w14:textId="36558BC5" w:rsidR="000E199C" w:rsidRPr="00164C7F" w:rsidRDefault="000E199C" w:rsidP="00190083">
      <w:pPr>
        <w:pStyle w:val="ListParagraph"/>
        <w:numPr>
          <w:ilvl w:val="1"/>
          <w:numId w:val="84"/>
        </w:numPr>
        <w:spacing w:after="0"/>
        <w:contextualSpacing w:val="0"/>
      </w:pPr>
      <w:r w:rsidRPr="00164C7F">
        <w:t xml:space="preserve">Member has organic hypothalamic-pituitary disease (e.g., suprasellar mass with previous surgery and cranial irradiation) with </w:t>
      </w:r>
      <w:r w:rsidRPr="00164C7F">
        <w:rPr>
          <w:rFonts w:ascii="Arial" w:hAnsi="Arial"/>
        </w:rPr>
        <w:t>≥</w:t>
      </w:r>
      <w:r w:rsidRPr="00164C7F">
        <w:t xml:space="preserve"> 3 documented pituitary hormone deficiencies (</w:t>
      </w:r>
      <w:r w:rsidR="003C488E" w:rsidRPr="00164C7F">
        <w:t xml:space="preserve">see </w:t>
      </w:r>
      <w:r w:rsidRPr="00164C7F">
        <w:t>Appendix B)</w:t>
      </w:r>
    </w:p>
    <w:p w14:paraId="5DD5E89C" w14:textId="4CDFF0CE" w:rsidR="003C488E" w:rsidRPr="00164C7F" w:rsidRDefault="000E199C" w:rsidP="003C488E">
      <w:pPr>
        <w:pStyle w:val="ListParagraph"/>
        <w:numPr>
          <w:ilvl w:val="1"/>
          <w:numId w:val="85"/>
        </w:numPr>
        <w:spacing w:after="0"/>
        <w:contextualSpacing w:val="0"/>
      </w:pPr>
      <w:r w:rsidRPr="00164C7F">
        <w:t xml:space="preserve">Member has genetic or </w:t>
      </w:r>
      <w:r w:rsidR="003C488E" w:rsidRPr="00164C7F">
        <w:t xml:space="preserve">congenital </w:t>
      </w:r>
      <w:r w:rsidRPr="00164C7F">
        <w:t>structural hypothalamic-pituitary defects (</w:t>
      </w:r>
      <w:r w:rsidR="003C488E" w:rsidRPr="00164C7F">
        <w:t>see</w:t>
      </w:r>
      <w:r w:rsidRPr="00164C7F">
        <w:t xml:space="preserve"> Appendix C)</w:t>
      </w:r>
    </w:p>
    <w:p w14:paraId="4201DFE7" w14:textId="792A4282" w:rsidR="000E199C" w:rsidRPr="00164C7F" w:rsidRDefault="000E199C" w:rsidP="00190083">
      <w:pPr>
        <w:pStyle w:val="ListParagraph"/>
        <w:numPr>
          <w:ilvl w:val="1"/>
          <w:numId w:val="86"/>
        </w:numPr>
        <w:spacing w:after="0"/>
        <w:ind w:right="0"/>
        <w:contextualSpacing w:val="0"/>
      </w:pPr>
      <w:r w:rsidRPr="00164C7F">
        <w:t>Member has childhood-onset GH deficiency and a congenital abnormality of the CNS, hypothalamus</w:t>
      </w:r>
      <w:r w:rsidR="003C488E" w:rsidRPr="00164C7F">
        <w:t>,</w:t>
      </w:r>
      <w:r w:rsidRPr="00164C7F">
        <w:t xml:space="preserve"> or pituitary (</w:t>
      </w:r>
      <w:r w:rsidR="003C488E" w:rsidRPr="00164C7F">
        <w:t>see</w:t>
      </w:r>
      <w:r w:rsidRPr="00164C7F">
        <w:t xml:space="preserve"> Appendix C)</w:t>
      </w:r>
    </w:p>
    <w:p w14:paraId="784D6ED7" w14:textId="65465AE7" w:rsidR="008B1332" w:rsidRPr="00164C7F" w:rsidRDefault="008B1332" w:rsidP="0036416B">
      <w:pPr>
        <w:pStyle w:val="Heading2"/>
        <w:keepNext w:val="0"/>
        <w:spacing w:before="200" w:after="0"/>
      </w:pPr>
      <w:r w:rsidRPr="00164C7F">
        <w:t>Appendi</w:t>
      </w:r>
      <w:r w:rsidR="00B42594" w:rsidRPr="00164C7F">
        <w:t>x</w:t>
      </w:r>
    </w:p>
    <w:p w14:paraId="4BCE1F04" w14:textId="27708F6D" w:rsidR="007A28E7" w:rsidRPr="00164C7F" w:rsidRDefault="007A28E7" w:rsidP="00190083">
      <w:pPr>
        <w:pStyle w:val="Heading3"/>
        <w:keepNext w:val="0"/>
        <w:spacing w:after="60"/>
      </w:pPr>
      <w:r w:rsidRPr="00164C7F">
        <w:t xml:space="preserve">Appendix A: Examples of Hypothalamic/Pituitary/CNS Disorders </w:t>
      </w:r>
      <w:r w:rsidRPr="00164C7F">
        <w:rPr>
          <w:vertAlign w:val="superscript"/>
        </w:rPr>
        <w:t>4,</w:t>
      </w:r>
      <w:r w:rsidR="00BF0130" w:rsidRPr="00164C7F">
        <w:rPr>
          <w:vertAlign w:val="superscript"/>
        </w:rPr>
        <w:t>5</w:t>
      </w:r>
      <w:r w:rsidRPr="00164C7F">
        <w:rPr>
          <w:vertAlign w:val="superscript"/>
        </w:rPr>
        <w:t>,</w:t>
      </w:r>
      <w:r w:rsidR="00BF0130" w:rsidRPr="00164C7F">
        <w:rPr>
          <w:vertAlign w:val="superscript"/>
        </w:rPr>
        <w:t>8</w:t>
      </w:r>
      <w:r w:rsidRPr="00164C7F">
        <w:rPr>
          <w:vertAlign w:val="superscript"/>
        </w:rPr>
        <w:t>,1</w:t>
      </w:r>
      <w:r w:rsidR="00BF0130" w:rsidRPr="00164C7F">
        <w:rPr>
          <w:vertAlign w:val="superscript"/>
        </w:rPr>
        <w:t>0</w:t>
      </w:r>
    </w:p>
    <w:p w14:paraId="378C1EA2" w14:textId="3E3CFA0C" w:rsidR="00D54985" w:rsidRPr="00164C7F" w:rsidRDefault="00D54985" w:rsidP="00190083">
      <w:pPr>
        <w:pStyle w:val="ListParagraph"/>
        <w:numPr>
          <w:ilvl w:val="0"/>
          <w:numId w:val="72"/>
        </w:numPr>
        <w:spacing w:after="0"/>
      </w:pPr>
      <w:r w:rsidRPr="00164C7F">
        <w:t>Congenital genetic abnormalities</w:t>
      </w:r>
    </w:p>
    <w:p w14:paraId="15800306" w14:textId="44516970" w:rsidR="00D54985" w:rsidRPr="00164C7F" w:rsidRDefault="00D54985" w:rsidP="00190083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Transcription factor defects (PIT-1, PROP-1, LHX3/4, HESX-1, PITX-2)</w:t>
      </w:r>
    </w:p>
    <w:p w14:paraId="6B00AC4F" w14:textId="72A21FCA" w:rsidR="00D54985" w:rsidRPr="00164C7F" w:rsidRDefault="00D54985" w:rsidP="00190083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Growth hormone releasing hormone (GHRH) receptor gene defects</w:t>
      </w:r>
    </w:p>
    <w:p w14:paraId="13DF3635" w14:textId="07F70DD3" w:rsidR="00D54985" w:rsidRPr="00164C7F" w:rsidRDefault="00D54985" w:rsidP="00190083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GH secretagogue receptor gene defects</w:t>
      </w:r>
    </w:p>
    <w:p w14:paraId="752F4B1E" w14:textId="5873C512" w:rsidR="00D54985" w:rsidRPr="00164C7F" w:rsidRDefault="00D54985" w:rsidP="00190083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GH gene defects</w:t>
      </w:r>
    </w:p>
    <w:p w14:paraId="3261C31F" w14:textId="463E4DE3" w:rsidR="00D54985" w:rsidRPr="00164C7F" w:rsidRDefault="00D54985" w:rsidP="00325CBF">
      <w:pPr>
        <w:pStyle w:val="ListParagraph"/>
        <w:numPr>
          <w:ilvl w:val="0"/>
          <w:numId w:val="72"/>
        </w:numPr>
        <w:spacing w:after="0"/>
      </w:pPr>
      <w:r w:rsidRPr="00164C7F">
        <w:t xml:space="preserve">Congenital structural abnormalities </w:t>
      </w:r>
    </w:p>
    <w:p w14:paraId="6B87549A" w14:textId="0246C7AE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Optic nerve hypoplasia/</w:t>
      </w:r>
      <w:proofErr w:type="spellStart"/>
      <w:r w:rsidRPr="00164C7F">
        <w:t>septo</w:t>
      </w:r>
      <w:proofErr w:type="spellEnd"/>
      <w:r w:rsidRPr="00164C7F">
        <w:t>-optic dysplasia</w:t>
      </w:r>
    </w:p>
    <w:p w14:paraId="41C577B4" w14:textId="70671774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Agenesis of corpus callosum</w:t>
      </w:r>
    </w:p>
    <w:p w14:paraId="4F8E13A0" w14:textId="3FBF677C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Empty sella syndrome</w:t>
      </w:r>
    </w:p>
    <w:p w14:paraId="1893B5CC" w14:textId="71840924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Ectopic posterior pituitary</w:t>
      </w:r>
    </w:p>
    <w:p w14:paraId="75B21053" w14:textId="3DFBB4A7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lastRenderedPageBreak/>
        <w:t>Pituitary aplasia/hypoplasia</w:t>
      </w:r>
    </w:p>
    <w:p w14:paraId="4B29295A" w14:textId="1B8E4BC6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Pituitary stalk defect</w:t>
      </w:r>
    </w:p>
    <w:p w14:paraId="05243C70" w14:textId="5AD4AADE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Holoprosencephaly</w:t>
      </w:r>
    </w:p>
    <w:p w14:paraId="5A2F46E3" w14:textId="581491F8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Encephalocele</w:t>
      </w:r>
    </w:p>
    <w:p w14:paraId="62BF6720" w14:textId="52638DF4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Hydrocephalus</w:t>
      </w:r>
    </w:p>
    <w:p w14:paraId="63E42FB5" w14:textId="77FBD202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 xml:space="preserve">Anencephaly or </w:t>
      </w:r>
      <w:proofErr w:type="spellStart"/>
      <w:r w:rsidRPr="00164C7F">
        <w:t>prosencephaly</w:t>
      </w:r>
      <w:proofErr w:type="spellEnd"/>
    </w:p>
    <w:p w14:paraId="440720F9" w14:textId="7C4E50A4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Arachnoid cyst</w:t>
      </w:r>
    </w:p>
    <w:p w14:paraId="6088D1B6" w14:textId="21BE17D2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Other mid-line facial defects (e.g., single central incisor, cleft lip/palate)</w:t>
      </w:r>
    </w:p>
    <w:p w14:paraId="7BE22A7A" w14:textId="6378ABF2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Vascular malformations</w:t>
      </w:r>
    </w:p>
    <w:p w14:paraId="2E8471B9" w14:textId="2769533C" w:rsidR="00D54985" w:rsidRPr="00164C7F" w:rsidRDefault="00D54985" w:rsidP="00DE2972">
      <w:pPr>
        <w:pStyle w:val="ListParagraph"/>
        <w:numPr>
          <w:ilvl w:val="0"/>
          <w:numId w:val="72"/>
        </w:numPr>
      </w:pPr>
      <w:r w:rsidRPr="00164C7F">
        <w:t>Acquired structural abnormalities (or causes of hypothalamic/pituitary damage)</w:t>
      </w:r>
    </w:p>
    <w:p w14:paraId="2A0B9329" w14:textId="0EAAE2FE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CNS tumors/neoplasms (e.g., craniopharyngioma, glioma/astrocytoma, pituitary adenoma, germinoma)</w:t>
      </w:r>
    </w:p>
    <w:p w14:paraId="19195447" w14:textId="4CD2D49C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Cysts (Rathke cleft cyst or arachnoid cleft cyst)</w:t>
      </w:r>
    </w:p>
    <w:p w14:paraId="7BC2ED19" w14:textId="4F333033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Surgery</w:t>
      </w:r>
    </w:p>
    <w:p w14:paraId="000ED8F7" w14:textId="79CCF1F6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Radiation</w:t>
      </w:r>
    </w:p>
    <w:p w14:paraId="54A61907" w14:textId="466B579D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Chemotherapy</w:t>
      </w:r>
    </w:p>
    <w:p w14:paraId="031AFC36" w14:textId="329242DB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CNS infections</w:t>
      </w:r>
    </w:p>
    <w:p w14:paraId="3D4A5C7D" w14:textId="2757661F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CNS infarction</w:t>
      </w:r>
    </w:p>
    <w:p w14:paraId="68CAFC14" w14:textId="1F0CF595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Inflammatory processes (e.g., autoimmune hypophysitis)</w:t>
      </w:r>
    </w:p>
    <w:p w14:paraId="4E3585D9" w14:textId="4F361CE9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Infiltrative processes (e.g., sarcoidosis, histiocytosis, hemochromatosis)</w:t>
      </w:r>
    </w:p>
    <w:p w14:paraId="765CB5F6" w14:textId="69FFF0EE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Head trauma/traumatic brain injury</w:t>
      </w:r>
    </w:p>
    <w:p w14:paraId="5DBDA04B" w14:textId="544879FC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Aneurysmal subarachnoid hemorrhage</w:t>
      </w:r>
    </w:p>
    <w:p w14:paraId="4EBB35E3" w14:textId="1ACAD5F2" w:rsidR="00D54985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Perinatal or postnatal trauma</w:t>
      </w:r>
    </w:p>
    <w:p w14:paraId="60F3ED2F" w14:textId="3350579B" w:rsidR="007A28E7" w:rsidRPr="00164C7F" w:rsidRDefault="00D54985" w:rsidP="00325CBF">
      <w:pPr>
        <w:pStyle w:val="ListParagraph"/>
        <w:numPr>
          <w:ilvl w:val="1"/>
          <w:numId w:val="74"/>
        </w:numPr>
        <w:spacing w:after="0"/>
        <w:contextualSpacing w:val="0"/>
      </w:pPr>
      <w:r w:rsidRPr="00164C7F">
        <w:t>Surgery of the pituitary or hypothalamus</w:t>
      </w:r>
    </w:p>
    <w:p w14:paraId="64095721" w14:textId="6F8EF697" w:rsidR="007A28E7" w:rsidRPr="00164C7F" w:rsidRDefault="007A28E7" w:rsidP="00A15AA6">
      <w:pPr>
        <w:pStyle w:val="Heading3"/>
        <w:spacing w:before="480" w:after="0"/>
      </w:pPr>
      <w:r w:rsidRPr="00164C7F">
        <w:t>Appendix B: Pituitary Hormones (Other than Growth Hormone)</w:t>
      </w:r>
    </w:p>
    <w:p w14:paraId="538AE5E8" w14:textId="68222F12" w:rsidR="00D54985" w:rsidRPr="00164C7F" w:rsidRDefault="00D54985" w:rsidP="00325CBF">
      <w:pPr>
        <w:pStyle w:val="ListParagraph"/>
        <w:numPr>
          <w:ilvl w:val="0"/>
          <w:numId w:val="72"/>
        </w:numPr>
        <w:spacing w:after="0"/>
      </w:pPr>
      <w:r w:rsidRPr="00164C7F">
        <w:t>Adrenocorticotropic hormone (ACTH)</w:t>
      </w:r>
    </w:p>
    <w:p w14:paraId="12A2E2D4" w14:textId="727E6593" w:rsidR="00D54985" w:rsidRPr="00164C7F" w:rsidRDefault="00D54985" w:rsidP="00325CBF">
      <w:pPr>
        <w:pStyle w:val="ListParagraph"/>
        <w:numPr>
          <w:ilvl w:val="0"/>
          <w:numId w:val="72"/>
        </w:numPr>
        <w:spacing w:after="0"/>
      </w:pPr>
      <w:r w:rsidRPr="00164C7F">
        <w:t>Antidiuretic hormone (ADH)</w:t>
      </w:r>
    </w:p>
    <w:p w14:paraId="0DE4A7ED" w14:textId="7743416C" w:rsidR="00D54985" w:rsidRPr="00164C7F" w:rsidRDefault="00D54985" w:rsidP="00325CBF">
      <w:pPr>
        <w:pStyle w:val="ListParagraph"/>
        <w:numPr>
          <w:ilvl w:val="0"/>
          <w:numId w:val="72"/>
        </w:numPr>
        <w:spacing w:after="0"/>
      </w:pPr>
      <w:r w:rsidRPr="00164C7F">
        <w:t>Follicle stimulating hormone (FSH)</w:t>
      </w:r>
    </w:p>
    <w:p w14:paraId="180AD876" w14:textId="46A69AD4" w:rsidR="00D54985" w:rsidRPr="00164C7F" w:rsidRDefault="00D54985" w:rsidP="00325CBF">
      <w:pPr>
        <w:pStyle w:val="ListParagraph"/>
        <w:numPr>
          <w:ilvl w:val="0"/>
          <w:numId w:val="72"/>
        </w:numPr>
        <w:spacing w:after="0"/>
      </w:pPr>
      <w:r w:rsidRPr="00164C7F">
        <w:t>Luteinizing hormone (LH)</w:t>
      </w:r>
    </w:p>
    <w:p w14:paraId="731EE488" w14:textId="25B92BF6" w:rsidR="00D54985" w:rsidRPr="00164C7F" w:rsidRDefault="00D54985" w:rsidP="00325CBF">
      <w:pPr>
        <w:pStyle w:val="ListParagraph"/>
        <w:numPr>
          <w:ilvl w:val="0"/>
          <w:numId w:val="72"/>
        </w:numPr>
        <w:spacing w:after="0"/>
      </w:pPr>
      <w:r w:rsidRPr="00164C7F">
        <w:t>Thyroid stimulating hormone (TSH)</w:t>
      </w:r>
    </w:p>
    <w:p w14:paraId="086E279F" w14:textId="0A3005CC" w:rsidR="00D54985" w:rsidRPr="00164C7F" w:rsidRDefault="00D54985" w:rsidP="00325CBF">
      <w:pPr>
        <w:pStyle w:val="ListParagraph"/>
        <w:numPr>
          <w:ilvl w:val="0"/>
          <w:numId w:val="72"/>
        </w:numPr>
        <w:spacing w:after="0"/>
      </w:pPr>
      <w:r w:rsidRPr="00164C7F">
        <w:t>Prolactin</w:t>
      </w:r>
    </w:p>
    <w:p w14:paraId="74D2E484" w14:textId="05CFC655" w:rsidR="007A28E7" w:rsidRPr="00164C7F" w:rsidRDefault="007A28E7" w:rsidP="00A15AA6">
      <w:pPr>
        <w:pStyle w:val="Heading3"/>
        <w:keepNext w:val="0"/>
        <w:spacing w:before="120" w:after="80"/>
      </w:pPr>
      <w:r w:rsidRPr="00164C7F">
        <w:t>Appendix C: Requirements for GH-Stimulation Testing in Adults</w:t>
      </w:r>
      <w:r w:rsidR="00BF0130" w:rsidRPr="00164C7F">
        <w:rPr>
          <w:vertAlign w:val="superscript"/>
        </w:rPr>
        <w:t>5</w:t>
      </w:r>
    </w:p>
    <w:p w14:paraId="7D9BD1C6" w14:textId="739AD5EA" w:rsidR="007A28E7" w:rsidRPr="00164C7F" w:rsidRDefault="007A28E7" w:rsidP="003F5646">
      <w:pPr>
        <w:pStyle w:val="ListParagraph"/>
        <w:numPr>
          <w:ilvl w:val="0"/>
          <w:numId w:val="60"/>
        </w:numPr>
      </w:pPr>
      <w:r w:rsidRPr="00164C7F">
        <w:t>Testing for adult GHD is not required</w:t>
      </w:r>
    </w:p>
    <w:p w14:paraId="2BCD5FC8" w14:textId="77777777" w:rsidR="007A28E7" w:rsidRPr="00164C7F" w:rsidRDefault="007A28E7" w:rsidP="008D3878">
      <w:pPr>
        <w:pStyle w:val="ListParagraph"/>
        <w:numPr>
          <w:ilvl w:val="1"/>
          <w:numId w:val="90"/>
        </w:numPr>
        <w:spacing w:after="0"/>
        <w:ind w:right="0"/>
        <w:textAlignment w:val="auto"/>
        <w:rPr>
          <w:bCs/>
        </w:rPr>
      </w:pPr>
      <w:r w:rsidRPr="00164C7F">
        <w:rPr>
          <w:bCs/>
        </w:rPr>
        <w:t>Three or more pituitary hormone deficiencies and low IGF-1</w:t>
      </w:r>
    </w:p>
    <w:p w14:paraId="00E04AA3" w14:textId="77777777" w:rsidR="007A28E7" w:rsidRPr="00164C7F" w:rsidRDefault="007A28E7" w:rsidP="008D3878">
      <w:pPr>
        <w:pStyle w:val="ListParagraph"/>
        <w:numPr>
          <w:ilvl w:val="1"/>
          <w:numId w:val="90"/>
        </w:numPr>
        <w:spacing w:after="0"/>
        <w:ind w:right="0"/>
        <w:textAlignment w:val="auto"/>
        <w:rPr>
          <w:bCs/>
        </w:rPr>
      </w:pPr>
      <w:r w:rsidRPr="00164C7F">
        <w:rPr>
          <w:bCs/>
        </w:rPr>
        <w:t>Congenital structural abnormalities</w:t>
      </w:r>
    </w:p>
    <w:p w14:paraId="379BED90" w14:textId="77777777" w:rsidR="007A28E7" w:rsidRPr="00164C7F" w:rsidRDefault="007A28E7" w:rsidP="0023073E">
      <w:pPr>
        <w:pStyle w:val="ListParagraph"/>
        <w:numPr>
          <w:ilvl w:val="2"/>
          <w:numId w:val="89"/>
        </w:numPr>
        <w:ind w:left="2160"/>
      </w:pPr>
      <w:r w:rsidRPr="00164C7F">
        <w:t>Transcription factor defects (PIT-1, PROP-1, LHX3/4, HESX-1, PITX-2)</w:t>
      </w:r>
    </w:p>
    <w:p w14:paraId="73F57671" w14:textId="77777777" w:rsidR="007A28E7" w:rsidRPr="00164C7F" w:rsidRDefault="007A28E7" w:rsidP="0023073E">
      <w:pPr>
        <w:pStyle w:val="ListParagraph"/>
        <w:numPr>
          <w:ilvl w:val="2"/>
          <w:numId w:val="89"/>
        </w:numPr>
        <w:ind w:left="2160"/>
      </w:pPr>
      <w:r w:rsidRPr="00164C7F">
        <w:t>GHRH receptor-gene defects</w:t>
      </w:r>
    </w:p>
    <w:p w14:paraId="2ACDBD25" w14:textId="77777777" w:rsidR="007A28E7" w:rsidRPr="00164C7F" w:rsidRDefault="007A28E7" w:rsidP="0023073E">
      <w:pPr>
        <w:pStyle w:val="ListParagraph"/>
        <w:numPr>
          <w:ilvl w:val="2"/>
          <w:numId w:val="89"/>
        </w:numPr>
        <w:ind w:left="2160"/>
      </w:pPr>
      <w:r w:rsidRPr="00164C7F">
        <w:t>GH-gene defects associated with brain structural defects</w:t>
      </w:r>
    </w:p>
    <w:p w14:paraId="31DE0417" w14:textId="77777777" w:rsidR="007A28E7" w:rsidRPr="00164C7F" w:rsidRDefault="007A28E7" w:rsidP="0023073E">
      <w:pPr>
        <w:pStyle w:val="ListParagraph"/>
        <w:numPr>
          <w:ilvl w:val="2"/>
          <w:numId w:val="89"/>
        </w:numPr>
        <w:ind w:left="2160"/>
      </w:pPr>
      <w:r w:rsidRPr="00164C7F">
        <w:t>Single central incisor</w:t>
      </w:r>
    </w:p>
    <w:p w14:paraId="2D4FC36B" w14:textId="77777777" w:rsidR="007A28E7" w:rsidRPr="00164C7F" w:rsidRDefault="007A28E7" w:rsidP="0023073E">
      <w:pPr>
        <w:pStyle w:val="ListParagraph"/>
        <w:numPr>
          <w:ilvl w:val="2"/>
          <w:numId w:val="89"/>
        </w:numPr>
        <w:ind w:left="2160"/>
        <w:rPr>
          <w:bCs/>
        </w:rPr>
      </w:pPr>
      <w:r w:rsidRPr="00164C7F">
        <w:lastRenderedPageBreak/>
        <w:t>Cleft lip</w:t>
      </w:r>
      <w:r w:rsidRPr="00164C7F">
        <w:rPr>
          <w:bCs/>
        </w:rPr>
        <w:t>/palate</w:t>
      </w:r>
    </w:p>
    <w:p w14:paraId="6808AA46" w14:textId="77777777" w:rsidR="007A28E7" w:rsidRPr="00164C7F" w:rsidRDefault="007A28E7" w:rsidP="008D3878">
      <w:pPr>
        <w:pStyle w:val="ListParagraph"/>
        <w:numPr>
          <w:ilvl w:val="1"/>
          <w:numId w:val="90"/>
        </w:numPr>
        <w:spacing w:after="0"/>
        <w:ind w:right="0"/>
        <w:textAlignment w:val="auto"/>
        <w:rPr>
          <w:bCs/>
        </w:rPr>
      </w:pPr>
      <w:r w:rsidRPr="00164C7F">
        <w:rPr>
          <w:bCs/>
        </w:rPr>
        <w:t>Acquired causes such as perinatal insults</w:t>
      </w:r>
    </w:p>
    <w:p w14:paraId="59E5E711" w14:textId="227E4DD1" w:rsidR="007A28E7" w:rsidRPr="00164C7F" w:rsidRDefault="007A28E7" w:rsidP="003F5646">
      <w:pPr>
        <w:pStyle w:val="ListParagraph"/>
        <w:numPr>
          <w:ilvl w:val="0"/>
          <w:numId w:val="60"/>
        </w:numPr>
      </w:pPr>
      <w:r w:rsidRPr="00164C7F">
        <w:t>Testing for adult GHD is required</w:t>
      </w:r>
    </w:p>
    <w:p w14:paraId="63DE4A45" w14:textId="57ADABB1" w:rsidR="007A28E7" w:rsidRPr="00164C7F" w:rsidRDefault="007A28E7" w:rsidP="003F5646">
      <w:pPr>
        <w:pStyle w:val="ListParagraph"/>
        <w:numPr>
          <w:ilvl w:val="1"/>
          <w:numId w:val="69"/>
        </w:numPr>
      </w:pPr>
      <w:r w:rsidRPr="00164C7F">
        <w:t>Acquired</w:t>
      </w:r>
    </w:p>
    <w:p w14:paraId="61D423C3" w14:textId="7210A994" w:rsidR="007A28E7" w:rsidRPr="00164C7F" w:rsidRDefault="007A28E7" w:rsidP="0038092F">
      <w:pPr>
        <w:pStyle w:val="ListParagraph"/>
        <w:numPr>
          <w:ilvl w:val="2"/>
          <w:numId w:val="88"/>
        </w:numPr>
        <w:ind w:left="2160"/>
      </w:pPr>
      <w:r w:rsidRPr="00164C7F">
        <w:t>Skull-base lesions</w:t>
      </w:r>
    </w:p>
    <w:p w14:paraId="226CE2DB" w14:textId="50F22E7D" w:rsidR="007A28E7" w:rsidRPr="00164C7F" w:rsidRDefault="007A28E7" w:rsidP="0038092F">
      <w:pPr>
        <w:pStyle w:val="ListParagraph"/>
        <w:numPr>
          <w:ilvl w:val="2"/>
          <w:numId w:val="88"/>
        </w:numPr>
        <w:ind w:left="2160"/>
      </w:pPr>
      <w:r w:rsidRPr="00164C7F">
        <w:t>Pituitary adenoma</w:t>
      </w:r>
    </w:p>
    <w:p w14:paraId="4647BE6E" w14:textId="75EE640C" w:rsidR="007A28E7" w:rsidRPr="00164C7F" w:rsidRDefault="007A28E7" w:rsidP="0038092F">
      <w:pPr>
        <w:pStyle w:val="ListParagraph"/>
        <w:numPr>
          <w:ilvl w:val="2"/>
          <w:numId w:val="88"/>
        </w:numPr>
        <w:ind w:left="2160"/>
      </w:pPr>
      <w:r w:rsidRPr="00164C7F">
        <w:t>Craniopharyngioma</w:t>
      </w:r>
    </w:p>
    <w:p w14:paraId="496157C1" w14:textId="55811D1D" w:rsidR="007A28E7" w:rsidRPr="00164C7F" w:rsidRDefault="007A28E7" w:rsidP="0038092F">
      <w:pPr>
        <w:pStyle w:val="ListParagraph"/>
        <w:numPr>
          <w:ilvl w:val="2"/>
          <w:numId w:val="88"/>
        </w:numPr>
        <w:ind w:left="2160"/>
      </w:pPr>
      <w:r w:rsidRPr="00164C7F">
        <w:t>Rathke’s cleft cyst</w:t>
      </w:r>
    </w:p>
    <w:p w14:paraId="36706021" w14:textId="5546CC02" w:rsidR="007A28E7" w:rsidRPr="00164C7F" w:rsidRDefault="007A28E7" w:rsidP="0038092F">
      <w:pPr>
        <w:pStyle w:val="ListParagraph"/>
        <w:numPr>
          <w:ilvl w:val="2"/>
          <w:numId w:val="88"/>
        </w:numPr>
        <w:ind w:left="2160"/>
      </w:pPr>
      <w:r w:rsidRPr="00164C7F">
        <w:t>Meningioma</w:t>
      </w:r>
    </w:p>
    <w:p w14:paraId="1024A3BD" w14:textId="180D46D7" w:rsidR="007A28E7" w:rsidRPr="00164C7F" w:rsidRDefault="007A28E7" w:rsidP="0038092F">
      <w:pPr>
        <w:pStyle w:val="ListParagraph"/>
        <w:numPr>
          <w:ilvl w:val="2"/>
          <w:numId w:val="88"/>
        </w:numPr>
        <w:ind w:left="2160"/>
      </w:pPr>
      <w:r w:rsidRPr="00164C7F">
        <w:t>Glioma/astrocytoma</w:t>
      </w:r>
    </w:p>
    <w:p w14:paraId="68AA43A7" w14:textId="50635EFA" w:rsidR="007A28E7" w:rsidRPr="00164C7F" w:rsidRDefault="007A28E7" w:rsidP="0038092F">
      <w:pPr>
        <w:pStyle w:val="ListParagraph"/>
        <w:numPr>
          <w:ilvl w:val="2"/>
          <w:numId w:val="88"/>
        </w:numPr>
        <w:ind w:left="2160"/>
      </w:pPr>
      <w:r w:rsidRPr="00164C7F">
        <w:t>Neoplastic sellar and parasellar lesions</w:t>
      </w:r>
    </w:p>
    <w:p w14:paraId="66F24E22" w14:textId="0F3F717E" w:rsidR="007A28E7" w:rsidRPr="00164C7F" w:rsidRDefault="007A28E7" w:rsidP="0038092F">
      <w:pPr>
        <w:pStyle w:val="ListParagraph"/>
        <w:numPr>
          <w:ilvl w:val="2"/>
          <w:numId w:val="88"/>
        </w:numPr>
        <w:ind w:left="2160"/>
      </w:pPr>
      <w:r w:rsidRPr="00164C7F">
        <w:t>Chordoma</w:t>
      </w:r>
    </w:p>
    <w:p w14:paraId="78AC60D7" w14:textId="0FF1ABFE" w:rsidR="007A28E7" w:rsidRPr="00164C7F" w:rsidRDefault="007A28E7" w:rsidP="0038092F">
      <w:pPr>
        <w:pStyle w:val="ListParagraph"/>
        <w:numPr>
          <w:ilvl w:val="2"/>
          <w:numId w:val="88"/>
        </w:numPr>
        <w:ind w:left="2160"/>
      </w:pPr>
      <w:r w:rsidRPr="00164C7F">
        <w:t>Hamartoma</w:t>
      </w:r>
    </w:p>
    <w:p w14:paraId="080C06EE" w14:textId="455FF21C" w:rsidR="007A28E7" w:rsidRPr="00164C7F" w:rsidRDefault="007A28E7" w:rsidP="0038092F">
      <w:pPr>
        <w:pStyle w:val="ListParagraph"/>
        <w:numPr>
          <w:ilvl w:val="2"/>
          <w:numId w:val="88"/>
        </w:numPr>
        <w:ind w:left="2160"/>
      </w:pPr>
      <w:r w:rsidRPr="00164C7F">
        <w:t>Lymphoma</w:t>
      </w:r>
    </w:p>
    <w:p w14:paraId="50727E73" w14:textId="0CD7F6EA" w:rsidR="007A28E7" w:rsidRPr="00164C7F" w:rsidRDefault="007A28E7" w:rsidP="0038092F">
      <w:pPr>
        <w:pStyle w:val="ListParagraph"/>
        <w:numPr>
          <w:ilvl w:val="2"/>
          <w:numId w:val="88"/>
        </w:numPr>
        <w:ind w:left="2160"/>
      </w:pPr>
      <w:r w:rsidRPr="00164C7F">
        <w:t>Metastases</w:t>
      </w:r>
    </w:p>
    <w:p w14:paraId="5369DF23" w14:textId="54282135" w:rsidR="007A28E7" w:rsidRPr="00164C7F" w:rsidRDefault="007A28E7" w:rsidP="0038092F">
      <w:pPr>
        <w:pStyle w:val="ListParagraph"/>
        <w:numPr>
          <w:ilvl w:val="2"/>
          <w:numId w:val="88"/>
        </w:numPr>
        <w:ind w:left="2160"/>
      </w:pPr>
      <w:r w:rsidRPr="00164C7F">
        <w:t>Other brain injury</w:t>
      </w:r>
    </w:p>
    <w:p w14:paraId="1FA227FF" w14:textId="228EE2EB" w:rsidR="007A28E7" w:rsidRPr="00164C7F" w:rsidRDefault="007A28E7" w:rsidP="0038092F">
      <w:pPr>
        <w:pStyle w:val="ListParagraph"/>
        <w:numPr>
          <w:ilvl w:val="2"/>
          <w:numId w:val="88"/>
        </w:numPr>
        <w:ind w:left="2160"/>
      </w:pPr>
      <w:r w:rsidRPr="00164C7F">
        <w:t>Traumatic brain injury</w:t>
      </w:r>
    </w:p>
    <w:p w14:paraId="2AE512CB" w14:textId="5EA42417" w:rsidR="007A28E7" w:rsidRPr="00164C7F" w:rsidRDefault="007A28E7" w:rsidP="0038092F">
      <w:pPr>
        <w:pStyle w:val="ListParagraph"/>
        <w:numPr>
          <w:ilvl w:val="2"/>
          <w:numId w:val="88"/>
        </w:numPr>
        <w:ind w:left="2160"/>
      </w:pPr>
      <w:r w:rsidRPr="00164C7F">
        <w:t>Sports-related head trauma</w:t>
      </w:r>
    </w:p>
    <w:p w14:paraId="310EAF38" w14:textId="5A097493" w:rsidR="007A28E7" w:rsidRPr="00164C7F" w:rsidRDefault="007A28E7" w:rsidP="0038092F">
      <w:pPr>
        <w:pStyle w:val="ListParagraph"/>
        <w:numPr>
          <w:ilvl w:val="2"/>
          <w:numId w:val="88"/>
        </w:numPr>
        <w:ind w:left="2160"/>
      </w:pPr>
      <w:r w:rsidRPr="00164C7F">
        <w:t>Blast injury</w:t>
      </w:r>
    </w:p>
    <w:p w14:paraId="1B64B709" w14:textId="37CA0CA9" w:rsidR="007A28E7" w:rsidRPr="00164C7F" w:rsidRDefault="007A28E7" w:rsidP="0038092F">
      <w:pPr>
        <w:pStyle w:val="ListParagraph"/>
        <w:numPr>
          <w:ilvl w:val="2"/>
          <w:numId w:val="88"/>
        </w:numPr>
        <w:ind w:left="2160"/>
      </w:pPr>
      <w:r w:rsidRPr="00164C7F">
        <w:t>Infiltrative/granulomatous disease</w:t>
      </w:r>
    </w:p>
    <w:p w14:paraId="01CE96E3" w14:textId="5D548064" w:rsidR="007A28E7" w:rsidRPr="00164C7F" w:rsidRDefault="007A28E7" w:rsidP="0038092F">
      <w:pPr>
        <w:pStyle w:val="ListParagraph"/>
        <w:numPr>
          <w:ilvl w:val="2"/>
          <w:numId w:val="88"/>
        </w:numPr>
        <w:ind w:left="2160"/>
      </w:pPr>
      <w:r w:rsidRPr="00164C7F">
        <w:t>Langerhans cell histiocytosis</w:t>
      </w:r>
    </w:p>
    <w:p w14:paraId="6D7F21EF" w14:textId="0DCE63BC" w:rsidR="007A28E7" w:rsidRPr="00164C7F" w:rsidRDefault="007A28E7" w:rsidP="0038092F">
      <w:pPr>
        <w:pStyle w:val="ListParagraph"/>
        <w:numPr>
          <w:ilvl w:val="2"/>
          <w:numId w:val="88"/>
        </w:numPr>
        <w:ind w:left="2160"/>
      </w:pPr>
      <w:r w:rsidRPr="00164C7F">
        <w:t>Autoimmune hypophysitis (primary or secondary)</w:t>
      </w:r>
    </w:p>
    <w:p w14:paraId="4145B2C1" w14:textId="2CEC3724" w:rsidR="007A28E7" w:rsidRPr="00164C7F" w:rsidRDefault="007A28E7" w:rsidP="0038092F">
      <w:pPr>
        <w:pStyle w:val="ListParagraph"/>
        <w:numPr>
          <w:ilvl w:val="2"/>
          <w:numId w:val="88"/>
        </w:numPr>
        <w:ind w:left="2160"/>
      </w:pPr>
      <w:r w:rsidRPr="00164C7F">
        <w:t>Sarcoidosis</w:t>
      </w:r>
    </w:p>
    <w:p w14:paraId="29E77A4B" w14:textId="1B51D1D9" w:rsidR="007A28E7" w:rsidRPr="00164C7F" w:rsidRDefault="007A28E7" w:rsidP="0038092F">
      <w:pPr>
        <w:pStyle w:val="ListParagraph"/>
        <w:numPr>
          <w:ilvl w:val="2"/>
          <w:numId w:val="88"/>
        </w:numPr>
        <w:ind w:left="2160"/>
      </w:pPr>
      <w:r w:rsidRPr="00164C7F">
        <w:t>Tuberculosis</w:t>
      </w:r>
    </w:p>
    <w:p w14:paraId="304B6377" w14:textId="41D4C9E3" w:rsidR="007A28E7" w:rsidRPr="00164C7F" w:rsidRDefault="007A28E7" w:rsidP="0038092F">
      <w:pPr>
        <w:pStyle w:val="ListParagraph"/>
        <w:numPr>
          <w:ilvl w:val="2"/>
          <w:numId w:val="88"/>
        </w:numPr>
        <w:ind w:left="2160"/>
      </w:pPr>
      <w:r w:rsidRPr="00164C7F">
        <w:t>Amyloidosis</w:t>
      </w:r>
    </w:p>
    <w:p w14:paraId="5733AC5D" w14:textId="1C2004F4" w:rsidR="007A28E7" w:rsidRPr="00164C7F" w:rsidRDefault="007A28E7" w:rsidP="003F5646">
      <w:pPr>
        <w:pStyle w:val="ListParagraph"/>
        <w:numPr>
          <w:ilvl w:val="1"/>
          <w:numId w:val="69"/>
        </w:numPr>
      </w:pPr>
      <w:r w:rsidRPr="00164C7F">
        <w:t>Surgery to the sella, suprasellar, and parasellar region</w:t>
      </w:r>
    </w:p>
    <w:p w14:paraId="74684758" w14:textId="201A9CD8" w:rsidR="007A28E7" w:rsidRPr="00164C7F" w:rsidRDefault="007A28E7" w:rsidP="003F5646">
      <w:pPr>
        <w:pStyle w:val="ListParagraph"/>
        <w:numPr>
          <w:ilvl w:val="1"/>
          <w:numId w:val="69"/>
        </w:numPr>
      </w:pPr>
      <w:r w:rsidRPr="00164C7F">
        <w:t>Cranial irradiation</w:t>
      </w:r>
    </w:p>
    <w:p w14:paraId="5F85F9D2" w14:textId="36A324B9" w:rsidR="007A28E7" w:rsidRPr="00164C7F" w:rsidRDefault="007A28E7" w:rsidP="003F5646">
      <w:pPr>
        <w:pStyle w:val="ListParagraph"/>
        <w:numPr>
          <w:ilvl w:val="1"/>
          <w:numId w:val="69"/>
        </w:numPr>
      </w:pPr>
      <w:r w:rsidRPr="00164C7F">
        <w:t>Central nervous system infections (bacteria, viruses, fungi, parasites)</w:t>
      </w:r>
    </w:p>
    <w:p w14:paraId="31CDDB0F" w14:textId="0E331C55" w:rsidR="007A28E7" w:rsidRPr="00164C7F" w:rsidRDefault="007A28E7" w:rsidP="003F5646">
      <w:pPr>
        <w:pStyle w:val="ListParagraph"/>
        <w:numPr>
          <w:ilvl w:val="1"/>
          <w:numId w:val="69"/>
        </w:numPr>
      </w:pPr>
      <w:r w:rsidRPr="00164C7F">
        <w:t>Infarction/hemorrhage (e.g., apoplexy, subarachnoid hemorrhage, ischemic stroke, snake bite)</w:t>
      </w:r>
    </w:p>
    <w:p w14:paraId="4159AC42" w14:textId="3859DA3A" w:rsidR="007A28E7" w:rsidRPr="00164C7F" w:rsidRDefault="007A28E7" w:rsidP="003F5646">
      <w:pPr>
        <w:pStyle w:val="ListParagraph"/>
        <w:numPr>
          <w:ilvl w:val="1"/>
          <w:numId w:val="69"/>
        </w:numPr>
      </w:pPr>
      <w:r w:rsidRPr="00164C7F">
        <w:t>Empty sella</w:t>
      </w:r>
    </w:p>
    <w:p w14:paraId="283249B4" w14:textId="329A214C" w:rsidR="007A28E7" w:rsidRPr="00164C7F" w:rsidRDefault="007A28E7" w:rsidP="003F5646">
      <w:pPr>
        <w:pStyle w:val="ListParagraph"/>
        <w:numPr>
          <w:ilvl w:val="1"/>
          <w:numId w:val="69"/>
        </w:numPr>
      </w:pPr>
      <w:r w:rsidRPr="00164C7F">
        <w:t>Hydrocephalus</w:t>
      </w:r>
    </w:p>
    <w:p w14:paraId="478FA4DA" w14:textId="62DB5CA3" w:rsidR="007A28E7" w:rsidRPr="00164C7F" w:rsidRDefault="007A28E7" w:rsidP="003F5646">
      <w:pPr>
        <w:pStyle w:val="ListParagraph"/>
        <w:numPr>
          <w:ilvl w:val="1"/>
          <w:numId w:val="69"/>
        </w:numPr>
      </w:pPr>
      <w:r w:rsidRPr="00164C7F">
        <w:t>Idiopathic</w:t>
      </w:r>
    </w:p>
    <w:p w14:paraId="0A275F8B" w14:textId="148E0029" w:rsidR="000E0438" w:rsidRPr="00164C7F" w:rsidRDefault="000E0438" w:rsidP="000E0438">
      <w:pPr>
        <w:pStyle w:val="Heading2"/>
      </w:pPr>
      <w:r w:rsidRPr="00164C7F">
        <w:t>References</w:t>
      </w:r>
    </w:p>
    <w:p w14:paraId="2E3B0EF6" w14:textId="5CC1B0BA" w:rsidR="00D54985" w:rsidRPr="00164C7F" w:rsidRDefault="00D54985" w:rsidP="0003316D">
      <w:pPr>
        <w:pStyle w:val="ReferenceOrdered"/>
      </w:pPr>
      <w:r w:rsidRPr="00164C7F">
        <w:t>Sogroya [package insert]. Plainsboro, NJ: Novo Nordisk, Inc; April 2023.</w:t>
      </w:r>
    </w:p>
    <w:p w14:paraId="2AB9C87D" w14:textId="0EF86C38" w:rsidR="00D54985" w:rsidRPr="00164C7F" w:rsidRDefault="00D54985" w:rsidP="0003316D">
      <w:pPr>
        <w:pStyle w:val="ReferenceOrdered"/>
      </w:pPr>
      <w:r w:rsidRPr="00164C7F">
        <w:t xml:space="preserve">U.S. National Library of Medicine. ClinicalTrials.gov. Trial to Compare the Efficacy and Safety of NNC0195-0092 (Somapacitan) With Placebo and </w:t>
      </w:r>
      <w:proofErr w:type="spellStart"/>
      <w:r w:rsidRPr="00164C7F">
        <w:t>Norditropin</w:t>
      </w:r>
      <w:proofErr w:type="spellEnd"/>
      <w:r w:rsidRPr="00164C7F">
        <w:t xml:space="preserve"> </w:t>
      </w:r>
      <w:proofErr w:type="spellStart"/>
      <w:r w:rsidRPr="00164C7F">
        <w:t>FlexPro</w:t>
      </w:r>
      <w:proofErr w:type="spellEnd"/>
      <w:r w:rsidRPr="00164C7F">
        <w:t xml:space="preserve"> (Somatropin) in Adults </w:t>
      </w:r>
      <w:proofErr w:type="gramStart"/>
      <w:r w:rsidRPr="00164C7F">
        <w:t>With</w:t>
      </w:r>
      <w:proofErr w:type="gramEnd"/>
      <w:r w:rsidRPr="00164C7F">
        <w:t xml:space="preserve"> Growth Hormone Deficiency (REAL 1). https://clinicaltrials.gov/ct2/show/study/NCT02229851. Accessed January 2</w:t>
      </w:r>
      <w:r w:rsidR="005F4F17" w:rsidRPr="00164C7F">
        <w:t>9</w:t>
      </w:r>
      <w:r w:rsidRPr="00164C7F">
        <w:t>, 202</w:t>
      </w:r>
      <w:r w:rsidR="005F4F17" w:rsidRPr="00164C7F">
        <w:t>5</w:t>
      </w:r>
      <w:r w:rsidRPr="00164C7F">
        <w:t>.</w:t>
      </w:r>
    </w:p>
    <w:p w14:paraId="344D2413" w14:textId="56FA6A45" w:rsidR="00D54985" w:rsidRPr="00164C7F" w:rsidRDefault="00D54985" w:rsidP="0003316D">
      <w:pPr>
        <w:pStyle w:val="ReferenceOrdered"/>
      </w:pPr>
      <w:r w:rsidRPr="00164C7F">
        <w:rPr>
          <w:lang w:val="nb-NO"/>
        </w:rPr>
        <w:lastRenderedPageBreak/>
        <w:t xml:space="preserve">Gharib H, Cook DM, Saenger PH, et al. </w:t>
      </w:r>
      <w:r w:rsidRPr="00164C7F">
        <w:t xml:space="preserve">American Association of Clinical Endocrinologists Growth Hormone Task Force. Medical guidelines for clinical practice for growth hormone use in adults and children 2003 Update. </w:t>
      </w:r>
      <w:proofErr w:type="spellStart"/>
      <w:r w:rsidRPr="00164C7F">
        <w:t>Endocr</w:t>
      </w:r>
      <w:proofErr w:type="spellEnd"/>
      <w:r w:rsidRPr="00164C7F">
        <w:t xml:space="preserve"> </w:t>
      </w:r>
      <w:proofErr w:type="spellStart"/>
      <w:r w:rsidRPr="00164C7F">
        <w:t>Pract</w:t>
      </w:r>
      <w:proofErr w:type="spellEnd"/>
      <w:r w:rsidRPr="00164C7F">
        <w:t>. 2003;9(1):64-76.</w:t>
      </w:r>
    </w:p>
    <w:p w14:paraId="0E6DBD61" w14:textId="7318BC1C" w:rsidR="00D54985" w:rsidRPr="00164C7F" w:rsidRDefault="00D54985" w:rsidP="0003316D">
      <w:pPr>
        <w:pStyle w:val="ReferenceOrdered"/>
      </w:pPr>
      <w:proofErr w:type="spellStart"/>
      <w:r w:rsidRPr="00164C7F">
        <w:t>Molitch</w:t>
      </w:r>
      <w:proofErr w:type="spellEnd"/>
      <w:r w:rsidRPr="00164C7F">
        <w:t xml:space="preserve"> ME, Clemmons DR, </w:t>
      </w:r>
      <w:proofErr w:type="spellStart"/>
      <w:r w:rsidRPr="00164C7F">
        <w:t>Malozowski</w:t>
      </w:r>
      <w:proofErr w:type="spellEnd"/>
      <w:r w:rsidRPr="00164C7F">
        <w:t xml:space="preserve"> S, et al. Evaluation and treatment of adult growth hormone deficiency: an Endocrine Society clinical practice guideline. J Clin Endocrinol </w:t>
      </w:r>
      <w:proofErr w:type="spellStart"/>
      <w:r w:rsidRPr="00164C7F">
        <w:t>Metab</w:t>
      </w:r>
      <w:proofErr w:type="spellEnd"/>
      <w:r w:rsidRPr="00164C7F">
        <w:t xml:space="preserve">. </w:t>
      </w:r>
      <w:proofErr w:type="gramStart"/>
      <w:r w:rsidRPr="00164C7F">
        <w:t>2011;96:1587</w:t>
      </w:r>
      <w:proofErr w:type="gramEnd"/>
      <w:r w:rsidRPr="00164C7F">
        <w:t>-1609.</w:t>
      </w:r>
    </w:p>
    <w:p w14:paraId="7BED63F6" w14:textId="63EB9701" w:rsidR="00D54985" w:rsidRPr="00164C7F" w:rsidRDefault="00D54985" w:rsidP="008D1A92">
      <w:pPr>
        <w:pStyle w:val="ReferenceOrdered"/>
      </w:pPr>
      <w:r w:rsidRPr="00164C7F">
        <w:t xml:space="preserve">Yuen KCJ, Biller BMK, </w:t>
      </w:r>
      <w:proofErr w:type="spellStart"/>
      <w:r w:rsidRPr="00164C7F">
        <w:t>Radovick</w:t>
      </w:r>
      <w:proofErr w:type="spellEnd"/>
      <w:r w:rsidRPr="00164C7F">
        <w:t xml:space="preserve"> S, et al. American Association of Clinical Endocrinologists and American College of Endocrinology Guidelines for management of growth hormone deficiency in adults and patients transitioning from pediatric to adult care. </w:t>
      </w:r>
      <w:proofErr w:type="spellStart"/>
      <w:r w:rsidRPr="00164C7F">
        <w:t>Endocr</w:t>
      </w:r>
      <w:proofErr w:type="spellEnd"/>
      <w:r w:rsidRPr="00164C7F">
        <w:t xml:space="preserve"> </w:t>
      </w:r>
      <w:proofErr w:type="spellStart"/>
      <w:r w:rsidRPr="00164C7F">
        <w:t>Pract</w:t>
      </w:r>
      <w:proofErr w:type="spellEnd"/>
      <w:r w:rsidRPr="00164C7F">
        <w:t>. 2019; 25: 1191-1232.</w:t>
      </w:r>
    </w:p>
    <w:p w14:paraId="559FBD3C" w14:textId="4F2B1F26" w:rsidR="00D54985" w:rsidRPr="00164C7F" w:rsidRDefault="00D54985" w:rsidP="008D1A92">
      <w:pPr>
        <w:pStyle w:val="ReferenceOrdered"/>
      </w:pPr>
      <w:r w:rsidRPr="00164C7F">
        <w:t xml:space="preserve">National Institute for Clinical Excellence: Guidance on the use of human growth hormone (somatropin) for the treatment of growth failure in children. May 2010. </w:t>
      </w:r>
      <w:r w:rsidR="00BE409E" w:rsidRPr="00164C7F">
        <w:t>http://www.nice.org.uk/guidance/ta188</w:t>
      </w:r>
      <w:r w:rsidRPr="00164C7F">
        <w:t xml:space="preserve">. Accessed January </w:t>
      </w:r>
      <w:r w:rsidR="005379D2" w:rsidRPr="00164C7F">
        <w:t>14</w:t>
      </w:r>
      <w:r w:rsidRPr="00164C7F">
        <w:t>, 202</w:t>
      </w:r>
      <w:r w:rsidR="005379D2" w:rsidRPr="00164C7F">
        <w:t>5</w:t>
      </w:r>
      <w:r w:rsidRPr="00164C7F">
        <w:t>.</w:t>
      </w:r>
    </w:p>
    <w:p w14:paraId="3D9D6E9E" w14:textId="07BAA056" w:rsidR="008D1A92" w:rsidRPr="00164C7F" w:rsidRDefault="00D54985" w:rsidP="008D1A92">
      <w:pPr>
        <w:pStyle w:val="ReferenceOrdered"/>
      </w:pPr>
      <w:r w:rsidRPr="00164C7F">
        <w:rPr>
          <w:lang w:val="nb-NO"/>
        </w:rPr>
        <w:t xml:space="preserve">Wilson TA, Rose SR, Cohen P, et al. </w:t>
      </w:r>
      <w:r w:rsidRPr="00164C7F">
        <w:t xml:space="preserve">Update of Guidelines for the Use of Growth Hormone in Children: The Lawson Wilkins Pediatric Endocrinology Society Drug and Therapeutics Committee. J </w:t>
      </w:r>
      <w:proofErr w:type="spellStart"/>
      <w:r w:rsidRPr="00164C7F">
        <w:t>Pediatr</w:t>
      </w:r>
      <w:proofErr w:type="spellEnd"/>
      <w:r w:rsidRPr="00164C7F">
        <w:t xml:space="preserve">. </w:t>
      </w:r>
      <w:proofErr w:type="gramStart"/>
      <w:r w:rsidRPr="00164C7F">
        <w:t>2003;143:415</w:t>
      </w:r>
      <w:proofErr w:type="gramEnd"/>
      <w:r w:rsidRPr="00164C7F">
        <w:t>-421</w:t>
      </w:r>
      <w:r w:rsidR="00802D82" w:rsidRPr="00164C7F">
        <w:t>.</w:t>
      </w:r>
    </w:p>
    <w:p w14:paraId="382B1097" w14:textId="413A3CC9" w:rsidR="008D1A92" w:rsidRPr="00164C7F" w:rsidRDefault="008D1A92" w:rsidP="008D1A92">
      <w:pPr>
        <w:pStyle w:val="ReferenceOrdered"/>
      </w:pPr>
      <w:r w:rsidRPr="00164C7F">
        <w:t xml:space="preserve">Franklin SL, </w:t>
      </w:r>
      <w:proofErr w:type="spellStart"/>
      <w:r w:rsidRPr="00164C7F">
        <w:t>Geffner</w:t>
      </w:r>
      <w:proofErr w:type="spellEnd"/>
      <w:r w:rsidRPr="00164C7F">
        <w:t xml:space="preserve"> ME. Growth hormone: the expansion of available products and indications. </w:t>
      </w:r>
      <w:proofErr w:type="spellStart"/>
      <w:r w:rsidRPr="00164C7F">
        <w:t>Pediatr</w:t>
      </w:r>
      <w:proofErr w:type="spellEnd"/>
      <w:r w:rsidRPr="00164C7F">
        <w:t xml:space="preserve"> Clin North Am. </w:t>
      </w:r>
      <w:proofErr w:type="gramStart"/>
      <w:r w:rsidRPr="00164C7F">
        <w:t>2011;58:1141</w:t>
      </w:r>
      <w:proofErr w:type="gramEnd"/>
      <w:r w:rsidRPr="00164C7F">
        <w:t>-1165.</w:t>
      </w:r>
    </w:p>
    <w:p w14:paraId="595206C2" w14:textId="679C73F0" w:rsidR="00D54985" w:rsidRPr="00164C7F" w:rsidRDefault="00D54985" w:rsidP="008D1A92">
      <w:pPr>
        <w:pStyle w:val="ReferenceOrdered"/>
      </w:pPr>
      <w:proofErr w:type="spellStart"/>
      <w:r w:rsidRPr="00164C7F">
        <w:rPr>
          <w:lang w:val="fr-FR"/>
        </w:rPr>
        <w:t>Grimberg</w:t>
      </w:r>
      <w:proofErr w:type="spellEnd"/>
      <w:r w:rsidRPr="00164C7F">
        <w:rPr>
          <w:lang w:val="fr-FR"/>
        </w:rPr>
        <w:t xml:space="preserve"> A, </w:t>
      </w:r>
      <w:proofErr w:type="spellStart"/>
      <w:r w:rsidRPr="00164C7F">
        <w:rPr>
          <w:lang w:val="fr-FR"/>
        </w:rPr>
        <w:t>DiVall</w:t>
      </w:r>
      <w:proofErr w:type="spellEnd"/>
      <w:r w:rsidRPr="00164C7F">
        <w:rPr>
          <w:lang w:val="fr-FR"/>
        </w:rPr>
        <w:t xml:space="preserve"> SA, </w:t>
      </w:r>
      <w:proofErr w:type="spellStart"/>
      <w:r w:rsidRPr="00164C7F">
        <w:rPr>
          <w:lang w:val="fr-FR"/>
        </w:rPr>
        <w:t>Polychronakos</w:t>
      </w:r>
      <w:proofErr w:type="spellEnd"/>
      <w:r w:rsidRPr="00164C7F">
        <w:rPr>
          <w:lang w:val="fr-FR"/>
        </w:rPr>
        <w:t xml:space="preserve"> C, et al. </w:t>
      </w:r>
      <w:r w:rsidRPr="00164C7F">
        <w:t>Guidelines for growth hormone and insulin-like growth factor-I treatment in children and adolescents: growth hormone deficiency, idiopathic</w:t>
      </w:r>
      <w:r w:rsidR="00F83FA3" w:rsidRPr="00164C7F">
        <w:t xml:space="preserve"> </w:t>
      </w:r>
      <w:r w:rsidRPr="00164C7F">
        <w:t xml:space="preserve">short stature, and primary insulin-like growth factor-I deficiency. </w:t>
      </w:r>
      <w:proofErr w:type="spellStart"/>
      <w:r w:rsidRPr="00164C7F">
        <w:t>Horm</w:t>
      </w:r>
      <w:proofErr w:type="spellEnd"/>
      <w:r w:rsidRPr="00164C7F">
        <w:t xml:space="preserve"> Res </w:t>
      </w:r>
      <w:proofErr w:type="spellStart"/>
      <w:r w:rsidRPr="00164C7F">
        <w:t>Paediatr</w:t>
      </w:r>
      <w:proofErr w:type="spellEnd"/>
      <w:r w:rsidRPr="00164C7F">
        <w:t xml:space="preserve">. </w:t>
      </w:r>
      <w:proofErr w:type="gramStart"/>
      <w:r w:rsidRPr="00164C7F">
        <w:t>2016;86:361</w:t>
      </w:r>
      <w:proofErr w:type="gramEnd"/>
      <w:r w:rsidRPr="00164C7F">
        <w:t>-397.</w:t>
      </w:r>
    </w:p>
    <w:p w14:paraId="35849191" w14:textId="4EA205E0" w:rsidR="00D54985" w:rsidRPr="00164C7F" w:rsidRDefault="00D54985" w:rsidP="008D1A92">
      <w:pPr>
        <w:pStyle w:val="ReferenceOrdered"/>
      </w:pPr>
      <w:r w:rsidRPr="00164C7F">
        <w:rPr>
          <w:lang w:val="nb-NO"/>
        </w:rPr>
        <w:t xml:space="preserve">Deal C, Hasselmann C, Pfaffle RW, et al. </w:t>
      </w:r>
      <w:r w:rsidRPr="00164C7F">
        <w:t xml:space="preserve">Associations between pituitary imaging abnormalities and clinical and biochemical phenotypes in children with congenital growth hormone deficiency: data from an international observational study. </w:t>
      </w:r>
      <w:proofErr w:type="spellStart"/>
      <w:r w:rsidRPr="00164C7F">
        <w:t>Horm</w:t>
      </w:r>
      <w:proofErr w:type="spellEnd"/>
      <w:r w:rsidRPr="00164C7F">
        <w:t xml:space="preserve"> Res </w:t>
      </w:r>
      <w:proofErr w:type="spellStart"/>
      <w:r w:rsidRPr="00164C7F">
        <w:t>Paediatr</w:t>
      </w:r>
      <w:proofErr w:type="spellEnd"/>
      <w:r w:rsidRPr="00164C7F">
        <w:t xml:space="preserve">. </w:t>
      </w:r>
      <w:proofErr w:type="gramStart"/>
      <w:r w:rsidRPr="00164C7F">
        <w:t>2013;79:283</w:t>
      </w:r>
      <w:proofErr w:type="gramEnd"/>
      <w:r w:rsidRPr="00164C7F">
        <w:t>-292.</w:t>
      </w:r>
    </w:p>
    <w:sectPr w:rsidR="00D54985" w:rsidRPr="00164C7F" w:rsidSect="000C1190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1817F" w14:textId="77777777" w:rsidR="00510BC8" w:rsidRDefault="00510BC8">
      <w:r>
        <w:separator/>
      </w:r>
    </w:p>
  </w:endnote>
  <w:endnote w:type="continuationSeparator" w:id="0">
    <w:p w14:paraId="106A4C50" w14:textId="77777777" w:rsidR="00510BC8" w:rsidRDefault="00510BC8">
      <w:r>
        <w:continuationSeparator/>
      </w:r>
    </w:p>
  </w:endnote>
  <w:endnote w:type="continuationNotice" w:id="1">
    <w:p w14:paraId="30B98590" w14:textId="77777777" w:rsidR="00510BC8" w:rsidRDefault="00510B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4BAA" w14:textId="6BF718F1" w:rsidR="0041449F" w:rsidRPr="00EC47B6" w:rsidRDefault="0041449F" w:rsidP="0041449F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746F8" w:rsidRPr="001746F8">
      <w:rPr>
        <w:rFonts w:cs="Arial"/>
        <w:noProof/>
        <w:sz w:val="16"/>
        <w:szCs w:val="16"/>
      </w:rPr>
      <w:t>Sogroya</w:t>
    </w:r>
    <w:r w:rsidR="001746F8">
      <w:rPr>
        <w:rFonts w:cs="Arial"/>
        <w:noProof/>
        <w:snapToGrid w:val="0"/>
        <w:color w:val="000000"/>
        <w:sz w:val="16"/>
        <w:szCs w:val="16"/>
      </w:rPr>
      <w:t xml:space="preserve"> SGM 4210-A</w:t>
    </w:r>
    <w:r w:rsidR="001746F8" w:rsidRPr="001746F8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BB7FB4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79FDA553" w14:textId="77777777" w:rsidR="0041449F" w:rsidRPr="00EC47B6" w:rsidRDefault="0041449F" w:rsidP="0041449F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114E49D" w:rsidR="00F75C81" w:rsidRPr="0041449F" w:rsidRDefault="0041449F" w:rsidP="0041449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3A867B3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76DC8" w:rsidRPr="00A76DC8">
      <w:rPr>
        <w:rFonts w:cs="Arial"/>
        <w:noProof/>
        <w:sz w:val="16"/>
        <w:szCs w:val="16"/>
      </w:rPr>
      <w:t>Sogroya</w:t>
    </w:r>
    <w:r w:rsidR="00A76DC8">
      <w:rPr>
        <w:rFonts w:cs="Arial"/>
        <w:noProof/>
        <w:snapToGrid w:val="0"/>
        <w:color w:val="000000"/>
        <w:sz w:val="16"/>
        <w:szCs w:val="16"/>
      </w:rPr>
      <w:t xml:space="preserve"> SGM 4210-A</w:t>
    </w:r>
    <w:r w:rsidR="00A76DC8" w:rsidRPr="00A76DC8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6611AB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3D2E125E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5C7A510" w:rsidR="00ED04EC" w:rsidRPr="00F50D98" w:rsidRDefault="00F50D98" w:rsidP="001E750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76D0E" w14:textId="77777777" w:rsidR="00510BC8" w:rsidRDefault="00510BC8">
      <w:r>
        <w:separator/>
      </w:r>
    </w:p>
  </w:footnote>
  <w:footnote w:type="continuationSeparator" w:id="0">
    <w:p w14:paraId="3171C429" w14:textId="77777777" w:rsidR="00510BC8" w:rsidRDefault="00510BC8">
      <w:r>
        <w:continuationSeparator/>
      </w:r>
    </w:p>
  </w:footnote>
  <w:footnote w:type="continuationNotice" w:id="1">
    <w:p w14:paraId="4D7CB6F8" w14:textId="77777777" w:rsidR="00510BC8" w:rsidRDefault="00510B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190083" w:rsidRPr="00190083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03316D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03316D">
            <w:rPr>
              <w:rFonts w:cs="Arial"/>
              <w:sz w:val="16"/>
              <w:szCs w:val="16"/>
            </w:rPr>
            <w:t>Reference number(s)</w:t>
          </w:r>
        </w:p>
      </w:tc>
    </w:tr>
    <w:tr w:rsidR="00190083" w:rsidRPr="00190083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30DFC3D1" w:rsidR="00ED04EC" w:rsidRPr="0003316D" w:rsidRDefault="00D63254" w:rsidP="00ED04EC">
          <w:pPr>
            <w:pStyle w:val="Header"/>
            <w:rPr>
              <w:rFonts w:cs="Arial"/>
              <w:sz w:val="16"/>
              <w:szCs w:val="16"/>
            </w:rPr>
          </w:pPr>
          <w:r w:rsidRPr="0003316D">
            <w:rPr>
              <w:rFonts w:cs="Arial"/>
              <w:sz w:val="16"/>
              <w:szCs w:val="16"/>
            </w:rPr>
            <w:t>4210-A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121DAD" w:rsidRDefault="000F5383" w:rsidP="000F5383">
          <w:pPr>
            <w:pStyle w:val="Header"/>
            <w:rPr>
              <w:rFonts w:cs="Arial"/>
              <w:sz w:val="16"/>
              <w:szCs w:val="16"/>
            </w:rPr>
          </w:pPr>
          <w:r w:rsidRPr="00121DAD">
            <w:rPr>
              <w:rFonts w:cs="Arial"/>
              <w:sz w:val="16"/>
              <w:szCs w:val="16"/>
            </w:rPr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2BAF6F92" w:rsidR="000F5383" w:rsidRPr="00121DAD" w:rsidRDefault="00D63254" w:rsidP="000F5383">
          <w:pPr>
            <w:pStyle w:val="Header"/>
            <w:rPr>
              <w:rFonts w:cs="Arial"/>
              <w:sz w:val="16"/>
              <w:szCs w:val="16"/>
            </w:rPr>
          </w:pPr>
          <w:r w:rsidRPr="00D63254">
            <w:rPr>
              <w:rFonts w:cs="Arial"/>
              <w:sz w:val="16"/>
              <w:szCs w:val="16"/>
            </w:rPr>
            <w:t>4210-A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C0449C"/>
    <w:multiLevelType w:val="hybridMultilevel"/>
    <w:tmpl w:val="EC96EF44"/>
    <w:lvl w:ilvl="0" w:tplc="6602F9C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7F71D5"/>
    <w:multiLevelType w:val="hybridMultilevel"/>
    <w:tmpl w:val="89CE0B88"/>
    <w:lvl w:ilvl="0" w:tplc="1B44817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D7521A5C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494F67"/>
    <w:multiLevelType w:val="hybridMultilevel"/>
    <w:tmpl w:val="5C8825D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136E43"/>
    <w:multiLevelType w:val="hybridMultilevel"/>
    <w:tmpl w:val="7E481C1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B2446E"/>
    <w:multiLevelType w:val="hybridMultilevel"/>
    <w:tmpl w:val="02165E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992193"/>
    <w:multiLevelType w:val="hybridMultilevel"/>
    <w:tmpl w:val="1ECAAFA6"/>
    <w:lvl w:ilvl="0" w:tplc="FDCE8A54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4843FB0"/>
    <w:multiLevelType w:val="hybridMultilevel"/>
    <w:tmpl w:val="DD86F1BC"/>
    <w:lvl w:ilvl="0" w:tplc="4F9A1AA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71F41F10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9A2002"/>
    <w:multiLevelType w:val="hybridMultilevel"/>
    <w:tmpl w:val="3F8C6F86"/>
    <w:lvl w:ilvl="0" w:tplc="97704EE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1B42F22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F03E3DFC">
      <w:start w:val="1"/>
      <w:numFmt w:val="lowerLetter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24F29"/>
    <w:multiLevelType w:val="hybridMultilevel"/>
    <w:tmpl w:val="A9861D3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9E81868"/>
    <w:multiLevelType w:val="hybridMultilevel"/>
    <w:tmpl w:val="DD220AA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515723"/>
    <w:multiLevelType w:val="hybridMultilevel"/>
    <w:tmpl w:val="D7741E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5" w15:restartNumberingAfterBreak="0">
    <w:nsid w:val="1C2C747A"/>
    <w:multiLevelType w:val="hybridMultilevel"/>
    <w:tmpl w:val="5C049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7919A3"/>
    <w:multiLevelType w:val="hybridMultilevel"/>
    <w:tmpl w:val="F65E1D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6C3228"/>
    <w:multiLevelType w:val="hybridMultilevel"/>
    <w:tmpl w:val="BF50D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5950BC"/>
    <w:multiLevelType w:val="hybridMultilevel"/>
    <w:tmpl w:val="2BA6E130"/>
    <w:lvl w:ilvl="0" w:tplc="96CA27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8788D4FE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662A96"/>
    <w:multiLevelType w:val="hybridMultilevel"/>
    <w:tmpl w:val="E5F0DB5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BEF3A40"/>
    <w:multiLevelType w:val="hybridMultilevel"/>
    <w:tmpl w:val="E4BA3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E8196A"/>
    <w:multiLevelType w:val="hybridMultilevel"/>
    <w:tmpl w:val="01C2AB3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2FE6A27"/>
    <w:multiLevelType w:val="hybridMultilevel"/>
    <w:tmpl w:val="F7E6BD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865AA8"/>
    <w:multiLevelType w:val="hybridMultilevel"/>
    <w:tmpl w:val="F00EF8B0"/>
    <w:lvl w:ilvl="0" w:tplc="0C58D64E">
      <w:start w:val="9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5B60CA"/>
    <w:multiLevelType w:val="hybridMultilevel"/>
    <w:tmpl w:val="0380B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8A72451"/>
    <w:multiLevelType w:val="hybridMultilevel"/>
    <w:tmpl w:val="E5766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8B5370F"/>
    <w:multiLevelType w:val="hybridMultilevel"/>
    <w:tmpl w:val="FB10625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2A2457"/>
    <w:multiLevelType w:val="hybridMultilevel"/>
    <w:tmpl w:val="4BE26E6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253E7"/>
    <w:multiLevelType w:val="hybridMultilevel"/>
    <w:tmpl w:val="2CA06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40002B6"/>
    <w:multiLevelType w:val="hybridMultilevel"/>
    <w:tmpl w:val="5A666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3E2F92"/>
    <w:multiLevelType w:val="hybridMultilevel"/>
    <w:tmpl w:val="77D238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7AC5F39"/>
    <w:multiLevelType w:val="hybridMultilevel"/>
    <w:tmpl w:val="0D5280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9993EA3"/>
    <w:multiLevelType w:val="hybridMultilevel"/>
    <w:tmpl w:val="BF7A29A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B20582C"/>
    <w:multiLevelType w:val="hybridMultilevel"/>
    <w:tmpl w:val="7662EAC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D5C03F2"/>
    <w:multiLevelType w:val="hybridMultilevel"/>
    <w:tmpl w:val="50961C4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D6138BA"/>
    <w:multiLevelType w:val="hybridMultilevel"/>
    <w:tmpl w:val="FFBC759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E815FAC"/>
    <w:multiLevelType w:val="hybridMultilevel"/>
    <w:tmpl w:val="FEFA7C8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512B64"/>
    <w:multiLevelType w:val="hybridMultilevel"/>
    <w:tmpl w:val="3AE01C06"/>
    <w:lvl w:ilvl="0" w:tplc="851A97BA">
      <w:start w:val="9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29F6819"/>
    <w:multiLevelType w:val="hybridMultilevel"/>
    <w:tmpl w:val="C9B8269C"/>
    <w:lvl w:ilvl="0" w:tplc="11DC8E6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7C739A"/>
    <w:multiLevelType w:val="hybridMultilevel"/>
    <w:tmpl w:val="5F5CD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F4551F"/>
    <w:multiLevelType w:val="hybridMultilevel"/>
    <w:tmpl w:val="9754204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B993557"/>
    <w:multiLevelType w:val="hybridMultilevel"/>
    <w:tmpl w:val="51662CB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BCC5956"/>
    <w:multiLevelType w:val="hybridMultilevel"/>
    <w:tmpl w:val="E6A4AE3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766516"/>
    <w:multiLevelType w:val="hybridMultilevel"/>
    <w:tmpl w:val="1892EA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1845BD9"/>
    <w:multiLevelType w:val="hybridMultilevel"/>
    <w:tmpl w:val="920EC0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7991E9C"/>
    <w:multiLevelType w:val="hybridMultilevel"/>
    <w:tmpl w:val="DDA23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8054745"/>
    <w:multiLevelType w:val="hybridMultilevel"/>
    <w:tmpl w:val="E238312E"/>
    <w:lvl w:ilvl="0" w:tplc="4042A8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CD642234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224743E">
      <w:start w:val="1"/>
      <w:numFmt w:val="lowerLetter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472084"/>
    <w:multiLevelType w:val="hybridMultilevel"/>
    <w:tmpl w:val="DAE41774"/>
    <w:lvl w:ilvl="0" w:tplc="91EA316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5E6F82"/>
    <w:multiLevelType w:val="hybridMultilevel"/>
    <w:tmpl w:val="3612CC6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ECA1B43"/>
    <w:multiLevelType w:val="hybridMultilevel"/>
    <w:tmpl w:val="37D44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F7640DF"/>
    <w:multiLevelType w:val="hybridMultilevel"/>
    <w:tmpl w:val="0F742F1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70CA72C4">
      <w:start w:val="1"/>
      <w:numFmt w:val="upperLetter"/>
      <w:lvlText w:val="%2."/>
      <w:lvlJc w:val="right"/>
      <w:pPr>
        <w:ind w:left="1080" w:hanging="360"/>
      </w:pPr>
      <w:rPr>
        <w:rFonts w:hint="default"/>
        <w:b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4B34776"/>
    <w:multiLevelType w:val="hybridMultilevel"/>
    <w:tmpl w:val="9E467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51D2434"/>
    <w:multiLevelType w:val="hybridMultilevel"/>
    <w:tmpl w:val="482A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80F204D"/>
    <w:multiLevelType w:val="hybridMultilevel"/>
    <w:tmpl w:val="B0FA1CD4"/>
    <w:lvl w:ilvl="0" w:tplc="DE8E6E5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4305274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5336B7E2">
      <w:start w:val="1"/>
      <w:numFmt w:val="lowerLetter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DC25778"/>
    <w:multiLevelType w:val="hybridMultilevel"/>
    <w:tmpl w:val="EDA8CCE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7"/>
  </w:num>
  <w:num w:numId="2" w16cid:durableId="606935877">
    <w:abstractNumId w:val="62"/>
  </w:num>
  <w:num w:numId="3" w16cid:durableId="611589570">
    <w:abstractNumId w:val="5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8"/>
  </w:num>
  <w:num w:numId="15" w16cid:durableId="616722934">
    <w:abstractNumId w:val="11"/>
  </w:num>
  <w:num w:numId="16" w16cid:durableId="898320195">
    <w:abstractNumId w:val="36"/>
  </w:num>
  <w:num w:numId="17" w16cid:durableId="2128498676">
    <w:abstractNumId w:val="73"/>
  </w:num>
  <w:num w:numId="18" w16cid:durableId="299724409">
    <w:abstractNumId w:val="57"/>
  </w:num>
  <w:num w:numId="19" w16cid:durableId="214585573">
    <w:abstractNumId w:val="24"/>
  </w:num>
  <w:num w:numId="20" w16cid:durableId="1289816170">
    <w:abstractNumId w:val="27"/>
  </w:num>
  <w:num w:numId="21" w16cid:durableId="1066490929">
    <w:abstractNumId w:val="74"/>
  </w:num>
  <w:num w:numId="22" w16cid:durableId="1472481103">
    <w:abstractNumId w:val="60"/>
  </w:num>
  <w:num w:numId="23" w16cid:durableId="1997420403">
    <w:abstractNumId w:val="65"/>
  </w:num>
  <w:num w:numId="24" w16cid:durableId="33312838">
    <w:abstractNumId w:val="59"/>
  </w:num>
  <w:num w:numId="25" w16cid:durableId="507404939">
    <w:abstractNumId w:val="35"/>
  </w:num>
  <w:num w:numId="26" w16cid:durableId="2093550992">
    <w:abstractNumId w:val="70"/>
  </w:num>
  <w:num w:numId="27" w16cid:durableId="2033072531">
    <w:abstractNumId w:val="16"/>
  </w:num>
  <w:num w:numId="28" w16cid:durableId="583881870">
    <w:abstractNumId w:val="25"/>
  </w:num>
  <w:num w:numId="29" w16cid:durableId="1387149072">
    <w:abstractNumId w:val="12"/>
  </w:num>
  <w:num w:numId="30" w16cid:durableId="1898936450">
    <w:abstractNumId w:val="56"/>
  </w:num>
  <w:num w:numId="31" w16cid:durableId="2104840778">
    <w:abstractNumId w:val="31"/>
  </w:num>
  <w:num w:numId="32" w16cid:durableId="1027946838">
    <w:abstractNumId w:val="20"/>
  </w:num>
  <w:num w:numId="33" w16cid:durableId="765854516">
    <w:abstractNumId w:val="32"/>
  </w:num>
  <w:num w:numId="34" w16cid:durableId="1166097018">
    <w:abstractNumId w:val="74"/>
  </w:num>
  <w:num w:numId="35" w16cid:durableId="1886065254">
    <w:abstractNumId w:val="74"/>
  </w:num>
  <w:num w:numId="36" w16cid:durableId="891890729">
    <w:abstractNumId w:val="45"/>
  </w:num>
  <w:num w:numId="37" w16cid:durableId="2111729677">
    <w:abstractNumId w:val="48"/>
  </w:num>
  <w:num w:numId="38" w16cid:durableId="2007435999">
    <w:abstractNumId w:val="42"/>
  </w:num>
  <w:num w:numId="39" w16cid:durableId="544878313">
    <w:abstractNumId w:val="72"/>
  </w:num>
  <w:num w:numId="40" w16cid:durableId="795951855">
    <w:abstractNumId w:val="33"/>
  </w:num>
  <w:num w:numId="41" w16cid:durableId="493960484">
    <w:abstractNumId w:val="74"/>
  </w:num>
  <w:num w:numId="42" w16cid:durableId="277874572">
    <w:abstractNumId w:val="47"/>
  </w:num>
  <w:num w:numId="43" w16cid:durableId="346296196">
    <w:abstractNumId w:val="23"/>
  </w:num>
  <w:num w:numId="44" w16cid:durableId="2032489354">
    <w:abstractNumId w:val="74"/>
  </w:num>
  <w:num w:numId="45" w16cid:durableId="1729721751">
    <w:abstractNumId w:val="15"/>
  </w:num>
  <w:num w:numId="46" w16cid:durableId="1209224454">
    <w:abstractNumId w:val="37"/>
  </w:num>
  <w:num w:numId="47" w16cid:durableId="1537621240">
    <w:abstractNumId w:val="10"/>
  </w:num>
  <w:num w:numId="48" w16cid:durableId="208038341">
    <w:abstractNumId w:val="68"/>
  </w:num>
  <w:num w:numId="49" w16cid:durableId="112601728">
    <w:abstractNumId w:val="64"/>
  </w:num>
  <w:num w:numId="50" w16cid:durableId="585042450">
    <w:abstractNumId w:val="49"/>
  </w:num>
  <w:num w:numId="51" w16cid:durableId="570699444">
    <w:abstractNumId w:val="74"/>
  </w:num>
  <w:num w:numId="52" w16cid:durableId="361175529">
    <w:abstractNumId w:val="74"/>
  </w:num>
  <w:num w:numId="53" w16cid:durableId="1079593398">
    <w:abstractNumId w:val="74"/>
  </w:num>
  <w:num w:numId="54" w16cid:durableId="2033719756">
    <w:abstractNumId w:val="74"/>
  </w:num>
  <w:num w:numId="55" w16cid:durableId="923877920">
    <w:abstractNumId w:val="74"/>
  </w:num>
  <w:num w:numId="56" w16cid:durableId="1653362205">
    <w:abstractNumId w:val="74"/>
  </w:num>
  <w:num w:numId="57" w16cid:durableId="1897282119">
    <w:abstractNumId w:val="74"/>
  </w:num>
  <w:num w:numId="58" w16cid:durableId="1034578410">
    <w:abstractNumId w:val="26"/>
  </w:num>
  <w:num w:numId="59" w16cid:durableId="1452822700">
    <w:abstractNumId w:val="13"/>
  </w:num>
  <w:num w:numId="60" w16cid:durableId="1099908288">
    <w:abstractNumId w:val="41"/>
  </w:num>
  <w:num w:numId="61" w16cid:durableId="409501468">
    <w:abstractNumId w:val="19"/>
  </w:num>
  <w:num w:numId="62" w16cid:durableId="95643262">
    <w:abstractNumId w:val="51"/>
  </w:num>
  <w:num w:numId="63" w16cid:durableId="97870774">
    <w:abstractNumId w:val="34"/>
  </w:num>
  <w:num w:numId="64" w16cid:durableId="1797479862">
    <w:abstractNumId w:val="69"/>
  </w:num>
  <w:num w:numId="65" w16cid:durableId="1337001927">
    <w:abstractNumId w:val="58"/>
  </w:num>
  <w:num w:numId="66" w16cid:durableId="13312886">
    <w:abstractNumId w:val="30"/>
  </w:num>
  <w:num w:numId="67" w16cid:durableId="1040939300">
    <w:abstractNumId w:val="14"/>
  </w:num>
  <w:num w:numId="68" w16cid:durableId="2110664351">
    <w:abstractNumId w:val="74"/>
  </w:num>
  <w:num w:numId="69" w16cid:durableId="300430530">
    <w:abstractNumId w:val="67"/>
  </w:num>
  <w:num w:numId="70" w16cid:durableId="2079862946">
    <w:abstractNumId w:val="71"/>
  </w:num>
  <w:num w:numId="71" w16cid:durableId="380130131">
    <w:abstractNumId w:val="74"/>
  </w:num>
  <w:num w:numId="72" w16cid:durableId="683749890">
    <w:abstractNumId w:val="38"/>
  </w:num>
  <w:num w:numId="73" w16cid:durableId="1932617079">
    <w:abstractNumId w:val="29"/>
  </w:num>
  <w:num w:numId="74" w16cid:durableId="1422722039">
    <w:abstractNumId w:val="61"/>
  </w:num>
  <w:num w:numId="75" w16cid:durableId="1532376048">
    <w:abstractNumId w:val="54"/>
  </w:num>
  <w:num w:numId="76" w16cid:durableId="1416435265">
    <w:abstractNumId w:val="75"/>
  </w:num>
  <w:num w:numId="77" w16cid:durableId="126435808">
    <w:abstractNumId w:val="63"/>
  </w:num>
  <w:num w:numId="78" w16cid:durableId="1432779729">
    <w:abstractNumId w:val="66"/>
  </w:num>
  <w:num w:numId="79" w16cid:durableId="553661126">
    <w:abstractNumId w:val="28"/>
  </w:num>
  <w:num w:numId="80" w16cid:durableId="82385557">
    <w:abstractNumId w:val="52"/>
  </w:num>
  <w:num w:numId="81" w16cid:durableId="1729183507">
    <w:abstractNumId w:val="44"/>
  </w:num>
  <w:num w:numId="82" w16cid:durableId="1255747005">
    <w:abstractNumId w:val="74"/>
  </w:num>
  <w:num w:numId="83" w16cid:durableId="1957177397">
    <w:abstractNumId w:val="74"/>
  </w:num>
  <w:num w:numId="84" w16cid:durableId="1060522533">
    <w:abstractNumId w:val="43"/>
  </w:num>
  <w:num w:numId="85" w16cid:durableId="636640360">
    <w:abstractNumId w:val="21"/>
  </w:num>
  <w:num w:numId="86" w16cid:durableId="1996713978">
    <w:abstractNumId w:val="55"/>
  </w:num>
  <w:num w:numId="87" w16cid:durableId="1510634142">
    <w:abstractNumId w:val="53"/>
  </w:num>
  <w:num w:numId="88" w16cid:durableId="1666592698">
    <w:abstractNumId w:val="40"/>
  </w:num>
  <w:num w:numId="89" w16cid:durableId="1585139865">
    <w:abstractNumId w:val="46"/>
  </w:num>
  <w:num w:numId="90" w16cid:durableId="1952469733">
    <w:abstractNumId w:val="22"/>
  </w:num>
  <w:num w:numId="91" w16cid:durableId="677083069">
    <w:abstractNumId w:val="74"/>
  </w:num>
  <w:num w:numId="92" w16cid:durableId="646133828">
    <w:abstractNumId w:val="74"/>
  </w:num>
  <w:num w:numId="93" w16cid:durableId="781336607">
    <w:abstractNumId w:val="74"/>
  </w:num>
  <w:num w:numId="94" w16cid:durableId="1533768424">
    <w:abstractNumId w:val="74"/>
  </w:num>
  <w:num w:numId="95" w16cid:durableId="2041122381">
    <w:abstractNumId w:val="74"/>
  </w:num>
  <w:num w:numId="96" w16cid:durableId="554849565">
    <w:abstractNumId w:val="74"/>
  </w:num>
  <w:num w:numId="97" w16cid:durableId="328797821">
    <w:abstractNumId w:val="74"/>
  </w:num>
  <w:num w:numId="98" w16cid:durableId="2102875598">
    <w:abstractNumId w:val="74"/>
  </w:num>
  <w:num w:numId="99" w16cid:durableId="171996145">
    <w:abstractNumId w:val="74"/>
  </w:num>
  <w:num w:numId="100" w16cid:durableId="685058606">
    <w:abstractNumId w:val="74"/>
  </w:num>
  <w:num w:numId="101" w16cid:durableId="743141773">
    <w:abstractNumId w:val="74"/>
  </w:num>
  <w:num w:numId="102" w16cid:durableId="1690184011">
    <w:abstractNumId w:val="74"/>
  </w:num>
  <w:num w:numId="103" w16cid:durableId="1728647018">
    <w:abstractNumId w:val="74"/>
  </w:num>
  <w:num w:numId="104" w16cid:durableId="1681852731">
    <w:abstractNumId w:val="74"/>
  </w:num>
  <w:num w:numId="105" w16cid:durableId="2102332535">
    <w:abstractNumId w:val="74"/>
  </w:num>
  <w:num w:numId="106" w16cid:durableId="708267176">
    <w:abstractNumId w:val="74"/>
  </w:num>
  <w:num w:numId="107" w16cid:durableId="824585574">
    <w:abstractNumId w:val="74"/>
  </w:num>
  <w:num w:numId="108" w16cid:durableId="286933152">
    <w:abstractNumId w:val="74"/>
  </w:num>
  <w:num w:numId="109" w16cid:durableId="636379577">
    <w:abstractNumId w:val="74"/>
  </w:num>
  <w:num w:numId="110" w16cid:durableId="1368607263">
    <w:abstractNumId w:val="74"/>
  </w:num>
  <w:num w:numId="111" w16cid:durableId="676007444">
    <w:abstractNumId w:val="39"/>
  </w:num>
  <w:num w:numId="112" w16cid:durableId="279386666">
    <w:abstractNumId w:val="74"/>
  </w:num>
  <w:num w:numId="113" w16cid:durableId="1282954104">
    <w:abstractNumId w:val="74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2AC2"/>
    <w:rsid w:val="0000301E"/>
    <w:rsid w:val="00003A88"/>
    <w:rsid w:val="000040CA"/>
    <w:rsid w:val="00004110"/>
    <w:rsid w:val="00004F4E"/>
    <w:rsid w:val="00005B58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7C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316D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56F"/>
    <w:rsid w:val="00077C0D"/>
    <w:rsid w:val="00080866"/>
    <w:rsid w:val="00081951"/>
    <w:rsid w:val="00081D8C"/>
    <w:rsid w:val="00081F48"/>
    <w:rsid w:val="00082357"/>
    <w:rsid w:val="00082825"/>
    <w:rsid w:val="00082CE9"/>
    <w:rsid w:val="00083591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9D6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A7E99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190"/>
    <w:rsid w:val="000C1550"/>
    <w:rsid w:val="000C2343"/>
    <w:rsid w:val="000C28E8"/>
    <w:rsid w:val="000C3761"/>
    <w:rsid w:val="000C3B5A"/>
    <w:rsid w:val="000C3BCA"/>
    <w:rsid w:val="000C5A6F"/>
    <w:rsid w:val="000C5F23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438"/>
    <w:rsid w:val="000E095D"/>
    <w:rsid w:val="000E0C62"/>
    <w:rsid w:val="000E199C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7C4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1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DAD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040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A2B"/>
    <w:rsid w:val="00144B23"/>
    <w:rsid w:val="00144BEB"/>
    <w:rsid w:val="00145A96"/>
    <w:rsid w:val="00146C1A"/>
    <w:rsid w:val="00150AFC"/>
    <w:rsid w:val="00151DA8"/>
    <w:rsid w:val="00152135"/>
    <w:rsid w:val="00153164"/>
    <w:rsid w:val="00153BC1"/>
    <w:rsid w:val="00154B0F"/>
    <w:rsid w:val="00154E30"/>
    <w:rsid w:val="00155A51"/>
    <w:rsid w:val="001560C4"/>
    <w:rsid w:val="00156A50"/>
    <w:rsid w:val="00156B77"/>
    <w:rsid w:val="00156E31"/>
    <w:rsid w:val="00160472"/>
    <w:rsid w:val="00160D0B"/>
    <w:rsid w:val="00162951"/>
    <w:rsid w:val="001630B4"/>
    <w:rsid w:val="00164C7F"/>
    <w:rsid w:val="00165258"/>
    <w:rsid w:val="00165670"/>
    <w:rsid w:val="0016567D"/>
    <w:rsid w:val="00165A99"/>
    <w:rsid w:val="001675AA"/>
    <w:rsid w:val="00170325"/>
    <w:rsid w:val="00173AB9"/>
    <w:rsid w:val="001746F8"/>
    <w:rsid w:val="001747DB"/>
    <w:rsid w:val="00174F3B"/>
    <w:rsid w:val="00175B12"/>
    <w:rsid w:val="00175EF2"/>
    <w:rsid w:val="00175F8E"/>
    <w:rsid w:val="00176167"/>
    <w:rsid w:val="001762FB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87C4A"/>
    <w:rsid w:val="00190083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AA0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50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32B"/>
    <w:rsid w:val="002277CB"/>
    <w:rsid w:val="002303E5"/>
    <w:rsid w:val="0023073E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210"/>
    <w:rsid w:val="00240736"/>
    <w:rsid w:val="00240C70"/>
    <w:rsid w:val="0024185D"/>
    <w:rsid w:val="002423DE"/>
    <w:rsid w:val="00242A53"/>
    <w:rsid w:val="00242E29"/>
    <w:rsid w:val="00242F54"/>
    <w:rsid w:val="00243017"/>
    <w:rsid w:val="0024305D"/>
    <w:rsid w:val="00244442"/>
    <w:rsid w:val="00244806"/>
    <w:rsid w:val="0024498F"/>
    <w:rsid w:val="002504F9"/>
    <w:rsid w:val="00250C39"/>
    <w:rsid w:val="00250E25"/>
    <w:rsid w:val="00251EE2"/>
    <w:rsid w:val="00252CE1"/>
    <w:rsid w:val="0025338B"/>
    <w:rsid w:val="002536E3"/>
    <w:rsid w:val="0025395A"/>
    <w:rsid w:val="00254313"/>
    <w:rsid w:val="00254A6A"/>
    <w:rsid w:val="00254CF2"/>
    <w:rsid w:val="0025520A"/>
    <w:rsid w:val="002556AB"/>
    <w:rsid w:val="00255792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4D1E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4ED"/>
    <w:rsid w:val="002B1581"/>
    <w:rsid w:val="002B306F"/>
    <w:rsid w:val="002B3172"/>
    <w:rsid w:val="002B4271"/>
    <w:rsid w:val="002B4B5C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DB6"/>
    <w:rsid w:val="002F1388"/>
    <w:rsid w:val="002F18A9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CCB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8AE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5CBF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4B7B"/>
    <w:rsid w:val="003468AA"/>
    <w:rsid w:val="00346D5D"/>
    <w:rsid w:val="00347C02"/>
    <w:rsid w:val="00350DF1"/>
    <w:rsid w:val="003524E5"/>
    <w:rsid w:val="00352959"/>
    <w:rsid w:val="00352B5E"/>
    <w:rsid w:val="00352BC7"/>
    <w:rsid w:val="00353393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16B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3A5"/>
    <w:rsid w:val="00374540"/>
    <w:rsid w:val="003753D0"/>
    <w:rsid w:val="003756FF"/>
    <w:rsid w:val="0037580F"/>
    <w:rsid w:val="0037664E"/>
    <w:rsid w:val="003777A6"/>
    <w:rsid w:val="00377D50"/>
    <w:rsid w:val="0038092F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58C0"/>
    <w:rsid w:val="003A5DDD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88E"/>
    <w:rsid w:val="003C4CD4"/>
    <w:rsid w:val="003C66DD"/>
    <w:rsid w:val="003C6EB7"/>
    <w:rsid w:val="003C6ED6"/>
    <w:rsid w:val="003C7530"/>
    <w:rsid w:val="003C76EF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646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1FBE"/>
    <w:rsid w:val="004127A0"/>
    <w:rsid w:val="00412ABD"/>
    <w:rsid w:val="00412C14"/>
    <w:rsid w:val="00413801"/>
    <w:rsid w:val="00413861"/>
    <w:rsid w:val="0041449F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586B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41A7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605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6A7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27A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1BFA"/>
    <w:rsid w:val="004D24E3"/>
    <w:rsid w:val="004D25DC"/>
    <w:rsid w:val="004D2D1C"/>
    <w:rsid w:val="004D2EAF"/>
    <w:rsid w:val="004D4045"/>
    <w:rsid w:val="004D4171"/>
    <w:rsid w:val="004D458D"/>
    <w:rsid w:val="004D498D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7E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293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0BC8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172BF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81C"/>
    <w:rsid w:val="00527DF6"/>
    <w:rsid w:val="005306A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9CD"/>
    <w:rsid w:val="00534ED2"/>
    <w:rsid w:val="005351FB"/>
    <w:rsid w:val="00535B1E"/>
    <w:rsid w:val="00536B4C"/>
    <w:rsid w:val="00536C29"/>
    <w:rsid w:val="00537391"/>
    <w:rsid w:val="005379D2"/>
    <w:rsid w:val="00537C2E"/>
    <w:rsid w:val="00540230"/>
    <w:rsid w:val="00540519"/>
    <w:rsid w:val="0054060A"/>
    <w:rsid w:val="00540769"/>
    <w:rsid w:val="0054123C"/>
    <w:rsid w:val="005421EB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033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141A"/>
    <w:rsid w:val="00592474"/>
    <w:rsid w:val="0059286F"/>
    <w:rsid w:val="00592BC7"/>
    <w:rsid w:val="00592F54"/>
    <w:rsid w:val="00593641"/>
    <w:rsid w:val="00593EBB"/>
    <w:rsid w:val="00596960"/>
    <w:rsid w:val="00596F37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B6A10"/>
    <w:rsid w:val="005C026B"/>
    <w:rsid w:val="005C194C"/>
    <w:rsid w:val="005C2625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525"/>
    <w:rsid w:val="005E4938"/>
    <w:rsid w:val="005E5674"/>
    <w:rsid w:val="005E5A43"/>
    <w:rsid w:val="005E5EF1"/>
    <w:rsid w:val="005E6477"/>
    <w:rsid w:val="005E6A1A"/>
    <w:rsid w:val="005F0A5B"/>
    <w:rsid w:val="005F10FC"/>
    <w:rsid w:val="005F1A16"/>
    <w:rsid w:val="005F1B36"/>
    <w:rsid w:val="005F2E73"/>
    <w:rsid w:val="005F3979"/>
    <w:rsid w:val="005F3DBD"/>
    <w:rsid w:val="005F4CD7"/>
    <w:rsid w:val="005F4F1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532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6BA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6345"/>
    <w:rsid w:val="0065738F"/>
    <w:rsid w:val="006579C9"/>
    <w:rsid w:val="00657EB3"/>
    <w:rsid w:val="006601B8"/>
    <w:rsid w:val="00660683"/>
    <w:rsid w:val="00660EDA"/>
    <w:rsid w:val="00660FCF"/>
    <w:rsid w:val="006611AB"/>
    <w:rsid w:val="0066217F"/>
    <w:rsid w:val="00662632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08C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48F3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584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38"/>
    <w:rsid w:val="00696693"/>
    <w:rsid w:val="00697304"/>
    <w:rsid w:val="006A06CA"/>
    <w:rsid w:val="006A1CD8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5C04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1476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6F7AB0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5986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345"/>
    <w:rsid w:val="00775C9E"/>
    <w:rsid w:val="00775FB7"/>
    <w:rsid w:val="007775AA"/>
    <w:rsid w:val="00777708"/>
    <w:rsid w:val="007778B0"/>
    <w:rsid w:val="00777BDA"/>
    <w:rsid w:val="00777D60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1FF9"/>
    <w:rsid w:val="007A28E7"/>
    <w:rsid w:val="007A3667"/>
    <w:rsid w:val="007A56B7"/>
    <w:rsid w:val="007A5CEC"/>
    <w:rsid w:val="007A61F8"/>
    <w:rsid w:val="007A7386"/>
    <w:rsid w:val="007A7861"/>
    <w:rsid w:val="007B01B5"/>
    <w:rsid w:val="007B0229"/>
    <w:rsid w:val="007B034D"/>
    <w:rsid w:val="007B0BFE"/>
    <w:rsid w:val="007B1B62"/>
    <w:rsid w:val="007B1C22"/>
    <w:rsid w:val="007B24BC"/>
    <w:rsid w:val="007B3C6A"/>
    <w:rsid w:val="007B41A6"/>
    <w:rsid w:val="007B432C"/>
    <w:rsid w:val="007B4652"/>
    <w:rsid w:val="007B4FD7"/>
    <w:rsid w:val="007B5F56"/>
    <w:rsid w:val="007B6167"/>
    <w:rsid w:val="007B7B09"/>
    <w:rsid w:val="007B7C01"/>
    <w:rsid w:val="007C1B6C"/>
    <w:rsid w:val="007C1FDD"/>
    <w:rsid w:val="007C29E1"/>
    <w:rsid w:val="007C2CEC"/>
    <w:rsid w:val="007C301D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A09"/>
    <w:rsid w:val="00802D82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5C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46C68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5FB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0F88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1E01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5B32"/>
    <w:rsid w:val="008B6135"/>
    <w:rsid w:val="008B6214"/>
    <w:rsid w:val="008B66C8"/>
    <w:rsid w:val="008B69F4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A92"/>
    <w:rsid w:val="008D1B34"/>
    <w:rsid w:val="008D2B93"/>
    <w:rsid w:val="008D31AD"/>
    <w:rsid w:val="008D3802"/>
    <w:rsid w:val="008D3878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155"/>
    <w:rsid w:val="00911462"/>
    <w:rsid w:val="0091183B"/>
    <w:rsid w:val="00911B53"/>
    <w:rsid w:val="00911B78"/>
    <w:rsid w:val="00912436"/>
    <w:rsid w:val="00913778"/>
    <w:rsid w:val="00914B83"/>
    <w:rsid w:val="009153A5"/>
    <w:rsid w:val="009159E4"/>
    <w:rsid w:val="009166D3"/>
    <w:rsid w:val="00916BA8"/>
    <w:rsid w:val="00916D43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3CBD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48DF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718"/>
    <w:rsid w:val="009C3C50"/>
    <w:rsid w:val="009C4B9D"/>
    <w:rsid w:val="009C4C07"/>
    <w:rsid w:val="009C4E1E"/>
    <w:rsid w:val="009C595B"/>
    <w:rsid w:val="009C59C2"/>
    <w:rsid w:val="009C6673"/>
    <w:rsid w:val="009C6CB5"/>
    <w:rsid w:val="009C6CFE"/>
    <w:rsid w:val="009C72D4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052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8E0"/>
    <w:rsid w:val="009E6C19"/>
    <w:rsid w:val="009E6E2F"/>
    <w:rsid w:val="009F0845"/>
    <w:rsid w:val="009F1EDE"/>
    <w:rsid w:val="009F2CEE"/>
    <w:rsid w:val="009F2D90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A6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4748"/>
    <w:rsid w:val="00A24886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876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67C2"/>
    <w:rsid w:val="00A76DC8"/>
    <w:rsid w:val="00A778F3"/>
    <w:rsid w:val="00A80B85"/>
    <w:rsid w:val="00A80C6E"/>
    <w:rsid w:val="00A80EB5"/>
    <w:rsid w:val="00A82509"/>
    <w:rsid w:val="00A82DDB"/>
    <w:rsid w:val="00A8305C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96D8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5C4"/>
    <w:rsid w:val="00AB060C"/>
    <w:rsid w:val="00AB07BF"/>
    <w:rsid w:val="00AB09BC"/>
    <w:rsid w:val="00AB1987"/>
    <w:rsid w:val="00AB1D1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832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68C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834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594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29F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0EEC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B7FB4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0C3B"/>
    <w:rsid w:val="00BD16EF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09E"/>
    <w:rsid w:val="00BE4562"/>
    <w:rsid w:val="00BE5586"/>
    <w:rsid w:val="00BE5599"/>
    <w:rsid w:val="00BE725B"/>
    <w:rsid w:val="00BE7721"/>
    <w:rsid w:val="00BF0130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2DF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375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505E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6883"/>
    <w:rsid w:val="00C675EB"/>
    <w:rsid w:val="00C676EA"/>
    <w:rsid w:val="00C700FE"/>
    <w:rsid w:val="00C712D8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0F78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52DB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363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B6D"/>
    <w:rsid w:val="00D20EFA"/>
    <w:rsid w:val="00D2121B"/>
    <w:rsid w:val="00D215BF"/>
    <w:rsid w:val="00D21D0C"/>
    <w:rsid w:val="00D2332E"/>
    <w:rsid w:val="00D23519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4985"/>
    <w:rsid w:val="00D5579C"/>
    <w:rsid w:val="00D56213"/>
    <w:rsid w:val="00D566EA"/>
    <w:rsid w:val="00D56FC3"/>
    <w:rsid w:val="00D578A8"/>
    <w:rsid w:val="00D6162B"/>
    <w:rsid w:val="00D63254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B7B"/>
    <w:rsid w:val="00D75C30"/>
    <w:rsid w:val="00D76337"/>
    <w:rsid w:val="00D76468"/>
    <w:rsid w:val="00D764D3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A6F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BC2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ADF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3DAF"/>
    <w:rsid w:val="00DD4EA3"/>
    <w:rsid w:val="00DD5193"/>
    <w:rsid w:val="00DD5970"/>
    <w:rsid w:val="00DD70A3"/>
    <w:rsid w:val="00DD7DE4"/>
    <w:rsid w:val="00DE02C1"/>
    <w:rsid w:val="00DE072A"/>
    <w:rsid w:val="00DE1C7E"/>
    <w:rsid w:val="00DE1E23"/>
    <w:rsid w:val="00DE219D"/>
    <w:rsid w:val="00DE23E7"/>
    <w:rsid w:val="00DE2972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5D2B"/>
    <w:rsid w:val="00DF63C8"/>
    <w:rsid w:val="00DF64CA"/>
    <w:rsid w:val="00DF6C92"/>
    <w:rsid w:val="00DF765D"/>
    <w:rsid w:val="00DF7FFE"/>
    <w:rsid w:val="00E00661"/>
    <w:rsid w:val="00E0180C"/>
    <w:rsid w:val="00E01E80"/>
    <w:rsid w:val="00E02122"/>
    <w:rsid w:val="00E0384C"/>
    <w:rsid w:val="00E04226"/>
    <w:rsid w:val="00E04264"/>
    <w:rsid w:val="00E046C3"/>
    <w:rsid w:val="00E050E1"/>
    <w:rsid w:val="00E05568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633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115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3C61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527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1FA"/>
    <w:rsid w:val="00EA72E4"/>
    <w:rsid w:val="00EB0299"/>
    <w:rsid w:val="00EB199D"/>
    <w:rsid w:val="00EB3987"/>
    <w:rsid w:val="00EB3B44"/>
    <w:rsid w:val="00EB46B3"/>
    <w:rsid w:val="00EB4736"/>
    <w:rsid w:val="00EB51BA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1FEB"/>
    <w:rsid w:val="00EC26DE"/>
    <w:rsid w:val="00EC2860"/>
    <w:rsid w:val="00EC3FDF"/>
    <w:rsid w:val="00EC44FD"/>
    <w:rsid w:val="00EC45A5"/>
    <w:rsid w:val="00EC47B6"/>
    <w:rsid w:val="00EC5A78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E7E04"/>
    <w:rsid w:val="00EF0315"/>
    <w:rsid w:val="00EF1588"/>
    <w:rsid w:val="00EF1D12"/>
    <w:rsid w:val="00EF208E"/>
    <w:rsid w:val="00EF2256"/>
    <w:rsid w:val="00EF2C03"/>
    <w:rsid w:val="00EF3046"/>
    <w:rsid w:val="00EF3A69"/>
    <w:rsid w:val="00EF4108"/>
    <w:rsid w:val="00EF5295"/>
    <w:rsid w:val="00EF536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5C96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C63"/>
    <w:rsid w:val="00F70D49"/>
    <w:rsid w:val="00F718A3"/>
    <w:rsid w:val="00F71DC9"/>
    <w:rsid w:val="00F729CF"/>
    <w:rsid w:val="00F72FC2"/>
    <w:rsid w:val="00F749A8"/>
    <w:rsid w:val="00F74F32"/>
    <w:rsid w:val="00F75340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3FA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08A9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B8F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292"/>
    <w:rsid w:val="00FD6A19"/>
    <w:rsid w:val="00FD75BC"/>
    <w:rsid w:val="00FD7AB8"/>
    <w:rsid w:val="00FE057F"/>
    <w:rsid w:val="00FE06ED"/>
    <w:rsid w:val="00FE0C63"/>
    <w:rsid w:val="00FE175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0B2E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FB6B8F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FB6B8F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11AF25-7B60-4CDB-82F7-5F41FC0800A1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1744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Sogroya SGM 4210-A</vt:lpstr>
    </vt:vector>
  </TitlesOfParts>
  <Company>CVS Caremark</Company>
  <LinksUpToDate>false</LinksUpToDate>
  <CharactersWithSpaces>11662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Sogroya SGM 4210-A</dc:title>
  <dc:subject>Sogroya SGM 4210-A</dc:subject>
  <dc:creator>CVS Caremark</dc:creator>
  <cp:keywords/>
  <cp:lastModifiedBy>Reynoso, Victor H</cp:lastModifiedBy>
  <cp:revision>7</cp:revision>
  <cp:lastPrinted>2024-04-12T08:36:00Z</cp:lastPrinted>
  <dcterms:created xsi:type="dcterms:W3CDTF">2025-04-10T14:03:00Z</dcterms:created>
  <dcterms:modified xsi:type="dcterms:W3CDTF">2025-04-10T14:08:00Z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942700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